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9E2D" w14:textId="131546A4" w:rsidR="00347422" w:rsidRDefault="00347422" w:rsidP="00787F90">
      <w:pPr>
        <w:spacing w:after="0"/>
        <w:jc w:val="center"/>
        <w:rPr>
          <w:b/>
          <w:bCs/>
          <w:color w:val="00967D"/>
          <w:sz w:val="36"/>
          <w:szCs w:val="36"/>
        </w:rPr>
      </w:pPr>
      <w:r>
        <w:rPr>
          <w:b/>
          <w:bCs/>
          <w:color w:val="00967D"/>
          <w:sz w:val="36"/>
          <w:szCs w:val="36"/>
        </w:rPr>
        <w:t>Job Description and Person Specification</w:t>
      </w:r>
    </w:p>
    <w:p w14:paraId="20F4DAF6" w14:textId="5D7D7A96" w:rsidR="00CE6699" w:rsidRPr="005221E2" w:rsidRDefault="005774CC" w:rsidP="005221E2">
      <w:pPr>
        <w:spacing w:after="0"/>
        <w:rPr>
          <w:b/>
          <w:bCs/>
          <w:color w:val="00967D"/>
          <w:sz w:val="36"/>
          <w:szCs w:val="36"/>
        </w:rPr>
      </w:pPr>
      <w:r>
        <w:rPr>
          <w:b/>
          <w:bCs/>
          <w:color w:val="00967D"/>
          <w:sz w:val="36"/>
          <w:szCs w:val="36"/>
        </w:rPr>
        <w:t xml:space="preserve">               </w:t>
      </w:r>
      <w:r w:rsidR="001F7920">
        <w:rPr>
          <w:b/>
          <w:bCs/>
          <w:color w:val="00967D"/>
          <w:sz w:val="36"/>
          <w:szCs w:val="36"/>
        </w:rPr>
        <w:t xml:space="preserve">          </w:t>
      </w:r>
      <w:r w:rsidR="00011B22">
        <w:rPr>
          <w:b/>
          <w:bCs/>
          <w:color w:val="00967D"/>
          <w:sz w:val="36"/>
          <w:szCs w:val="36"/>
        </w:rPr>
        <w:t xml:space="preserve"> </w:t>
      </w:r>
      <w:r w:rsidR="00360F0B">
        <w:rPr>
          <w:b/>
          <w:bCs/>
          <w:color w:val="00967D"/>
          <w:sz w:val="36"/>
          <w:szCs w:val="36"/>
        </w:rPr>
        <w:t xml:space="preserve">                                                                                               </w:t>
      </w:r>
    </w:p>
    <w:tbl>
      <w:tblPr>
        <w:tblW w:w="11057" w:type="dxa"/>
        <w:jc w:val="center"/>
        <w:tblBorders>
          <w:top w:val="nil"/>
          <w:left w:val="nil"/>
          <w:bottom w:val="nil"/>
          <w:right w:val="nil"/>
          <w:insideH w:val="nil"/>
          <w:insideV w:val="nil"/>
        </w:tblBorders>
        <w:tblLayout w:type="fixed"/>
        <w:tblLook w:val="0600" w:firstRow="0" w:lastRow="0" w:firstColumn="0" w:lastColumn="0" w:noHBand="1" w:noVBand="1"/>
      </w:tblPr>
      <w:tblGrid>
        <w:gridCol w:w="2684"/>
        <w:gridCol w:w="8373"/>
      </w:tblGrid>
      <w:tr w:rsidR="00347422" w:rsidRPr="006E7E59" w14:paraId="22A477AF" w14:textId="77777777" w:rsidTr="009511C8">
        <w:trPr>
          <w:trHeight w:hRule="exact" w:val="851"/>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16EDF368" w14:textId="0973850E" w:rsidR="00347422" w:rsidRPr="002A750B" w:rsidRDefault="00A002D3" w:rsidP="00C60E96">
            <w:pPr>
              <w:spacing w:before="240" w:after="0"/>
              <w:rPr>
                <w:rFonts w:cstheme="minorHAnsi"/>
                <w:b/>
                <w:bCs/>
                <w:sz w:val="26"/>
                <w:szCs w:val="26"/>
              </w:rPr>
            </w:pPr>
            <w:r>
              <w:rPr>
                <w:rFonts w:cstheme="minorHAnsi"/>
                <w:b/>
                <w:bCs/>
                <w:sz w:val="26"/>
                <w:szCs w:val="26"/>
              </w:rPr>
              <w:t>Job Title</w:t>
            </w:r>
          </w:p>
        </w:tc>
        <w:tc>
          <w:tcPr>
            <w:tcW w:w="8373" w:type="dxa"/>
            <w:tcBorders>
              <w:top w:val="single" w:sz="8" w:space="0" w:color="613612"/>
              <w:left w:val="single" w:sz="8" w:space="0" w:color="613612"/>
              <w:bottom w:val="single" w:sz="8" w:space="0" w:color="613612"/>
              <w:right w:val="single" w:sz="8" w:space="0" w:color="613612"/>
            </w:tcBorders>
          </w:tcPr>
          <w:p w14:paraId="3E6217A6" w14:textId="5256DA78" w:rsidR="00347422" w:rsidRPr="00C257C2" w:rsidRDefault="00C257C2" w:rsidP="00C60E96">
            <w:pPr>
              <w:spacing w:before="240" w:after="240"/>
              <w:rPr>
                <w:rFonts w:cstheme="minorHAnsi"/>
                <w:sz w:val="24"/>
                <w:szCs w:val="24"/>
              </w:rPr>
            </w:pPr>
            <w:r w:rsidRPr="00C257C2">
              <w:rPr>
                <w:rFonts w:cstheme="minorHAnsi"/>
                <w:sz w:val="24"/>
                <w:szCs w:val="24"/>
              </w:rPr>
              <w:t>Customer Relationship Manager</w:t>
            </w:r>
          </w:p>
        </w:tc>
      </w:tr>
      <w:tr w:rsidR="006216E4" w:rsidRPr="006E7E59" w14:paraId="18EEB2E4" w14:textId="77777777" w:rsidTr="009511C8">
        <w:trPr>
          <w:trHeight w:hRule="exact" w:val="851"/>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740915D4" w14:textId="43B6A89C" w:rsidR="006216E4" w:rsidRDefault="006216E4" w:rsidP="00C60E96">
            <w:pPr>
              <w:spacing w:before="240" w:after="0" w:line="240" w:lineRule="auto"/>
              <w:rPr>
                <w:rFonts w:eastAsia="Open Sans" w:cstheme="minorHAnsi"/>
                <w:b/>
                <w:sz w:val="26"/>
                <w:szCs w:val="26"/>
              </w:rPr>
            </w:pPr>
            <w:r>
              <w:rPr>
                <w:rFonts w:eastAsia="Open Sans" w:cstheme="minorHAnsi"/>
                <w:b/>
                <w:sz w:val="26"/>
                <w:szCs w:val="26"/>
              </w:rPr>
              <w:t>Team</w:t>
            </w:r>
          </w:p>
        </w:tc>
        <w:tc>
          <w:tcPr>
            <w:tcW w:w="8373" w:type="dxa"/>
            <w:tcBorders>
              <w:top w:val="single" w:sz="8" w:space="0" w:color="613612"/>
              <w:left w:val="single" w:sz="8" w:space="0" w:color="613612"/>
              <w:bottom w:val="single" w:sz="8" w:space="0" w:color="613612"/>
              <w:right w:val="single" w:sz="8" w:space="0" w:color="613612"/>
            </w:tcBorders>
          </w:tcPr>
          <w:p w14:paraId="1B975D9B" w14:textId="7F95DF2F" w:rsidR="006216E4" w:rsidRPr="00C257C2" w:rsidRDefault="00C257C2" w:rsidP="00C60E96">
            <w:pPr>
              <w:spacing w:before="240" w:after="240"/>
              <w:rPr>
                <w:rFonts w:eastAsia="Open Sans" w:cstheme="minorHAnsi"/>
                <w:bCs/>
                <w:sz w:val="24"/>
                <w:szCs w:val="24"/>
              </w:rPr>
            </w:pPr>
            <w:r w:rsidRPr="00C257C2">
              <w:rPr>
                <w:rFonts w:eastAsia="Open Sans" w:cstheme="minorHAnsi"/>
                <w:bCs/>
                <w:sz w:val="24"/>
                <w:szCs w:val="24"/>
              </w:rPr>
              <w:t>Business Development</w:t>
            </w:r>
          </w:p>
        </w:tc>
      </w:tr>
      <w:tr w:rsidR="00C06EEF" w:rsidRPr="006E7E59" w14:paraId="413F2019" w14:textId="77777777" w:rsidTr="009511C8">
        <w:trPr>
          <w:trHeight w:hRule="exact" w:val="851"/>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30A8CF60" w14:textId="01CE0BFC" w:rsidR="00C06EEF" w:rsidRPr="002A750B" w:rsidRDefault="00A002D3" w:rsidP="00C60E96">
            <w:pPr>
              <w:spacing w:before="240" w:after="0" w:line="240" w:lineRule="auto"/>
              <w:rPr>
                <w:rFonts w:eastAsia="Open Sans" w:cstheme="minorHAnsi"/>
                <w:bCs/>
                <w:sz w:val="26"/>
                <w:szCs w:val="26"/>
              </w:rPr>
            </w:pPr>
            <w:r>
              <w:rPr>
                <w:rFonts w:eastAsia="Open Sans" w:cstheme="minorHAnsi"/>
                <w:b/>
                <w:sz w:val="26"/>
                <w:szCs w:val="26"/>
              </w:rPr>
              <w:t xml:space="preserve">Business </w:t>
            </w:r>
            <w:r w:rsidR="006216E4">
              <w:rPr>
                <w:rFonts w:eastAsia="Open Sans" w:cstheme="minorHAnsi"/>
                <w:b/>
                <w:sz w:val="26"/>
                <w:szCs w:val="26"/>
              </w:rPr>
              <w:t>Division</w:t>
            </w:r>
          </w:p>
        </w:tc>
        <w:tc>
          <w:tcPr>
            <w:tcW w:w="8373" w:type="dxa"/>
            <w:tcBorders>
              <w:top w:val="single" w:sz="8" w:space="0" w:color="613612"/>
              <w:left w:val="single" w:sz="8" w:space="0" w:color="613612"/>
              <w:bottom w:val="single" w:sz="8" w:space="0" w:color="613612"/>
              <w:right w:val="single" w:sz="8" w:space="0" w:color="613612"/>
            </w:tcBorders>
          </w:tcPr>
          <w:p w14:paraId="57285484" w14:textId="6E1C4AE5" w:rsidR="00C06EEF" w:rsidRPr="00C257C2" w:rsidRDefault="00C257C2" w:rsidP="00C60E96">
            <w:pPr>
              <w:spacing w:before="240" w:after="240"/>
              <w:rPr>
                <w:rFonts w:eastAsia="Open Sans" w:cstheme="minorHAnsi"/>
                <w:bCs/>
                <w:sz w:val="24"/>
                <w:szCs w:val="24"/>
              </w:rPr>
            </w:pPr>
            <w:r w:rsidRPr="00C257C2">
              <w:rPr>
                <w:rFonts w:eastAsia="Open Sans" w:cstheme="minorHAnsi"/>
                <w:bCs/>
                <w:sz w:val="24"/>
                <w:szCs w:val="24"/>
              </w:rPr>
              <w:t xml:space="preserve">Business Development </w:t>
            </w:r>
          </w:p>
        </w:tc>
      </w:tr>
      <w:tr w:rsidR="00C06EEF" w:rsidRPr="006E7E59" w14:paraId="2198C128" w14:textId="77777777" w:rsidTr="009511C8">
        <w:trPr>
          <w:trHeight w:hRule="exact" w:val="851"/>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2DBF3840" w14:textId="0438C2CC" w:rsidR="00C06EEF" w:rsidRPr="002A750B" w:rsidRDefault="00241880" w:rsidP="00C60E96">
            <w:pPr>
              <w:spacing w:before="240" w:after="240"/>
              <w:rPr>
                <w:rFonts w:eastAsia="Open Sans" w:cstheme="minorHAnsi"/>
                <w:b/>
                <w:sz w:val="26"/>
                <w:szCs w:val="26"/>
              </w:rPr>
            </w:pPr>
            <w:r>
              <w:rPr>
                <w:rFonts w:eastAsia="Open Sans" w:cstheme="minorHAnsi"/>
                <w:b/>
                <w:sz w:val="26"/>
                <w:szCs w:val="26"/>
              </w:rPr>
              <w:t>Reports to</w:t>
            </w:r>
          </w:p>
        </w:tc>
        <w:tc>
          <w:tcPr>
            <w:tcW w:w="8373" w:type="dxa"/>
            <w:tcBorders>
              <w:top w:val="single" w:sz="8" w:space="0" w:color="613612"/>
              <w:left w:val="single" w:sz="8" w:space="0" w:color="613612"/>
              <w:bottom w:val="single" w:sz="8" w:space="0" w:color="613612"/>
              <w:right w:val="single" w:sz="8" w:space="0" w:color="613612"/>
            </w:tcBorders>
          </w:tcPr>
          <w:p w14:paraId="1BDDA893" w14:textId="4E63B235" w:rsidR="00C06EEF" w:rsidRPr="00C257C2" w:rsidRDefault="00C257C2" w:rsidP="00C60E96">
            <w:pPr>
              <w:spacing w:before="240" w:after="240"/>
              <w:rPr>
                <w:rFonts w:eastAsia="Open Sans" w:cstheme="minorHAnsi"/>
                <w:bCs/>
                <w:sz w:val="24"/>
                <w:szCs w:val="24"/>
              </w:rPr>
            </w:pPr>
            <w:r w:rsidRPr="00C257C2">
              <w:rPr>
                <w:rFonts w:eastAsia="Open Sans" w:cstheme="minorHAnsi"/>
                <w:bCs/>
                <w:sz w:val="24"/>
                <w:szCs w:val="24"/>
              </w:rPr>
              <w:t xml:space="preserve">Commercial Director </w:t>
            </w:r>
          </w:p>
        </w:tc>
      </w:tr>
      <w:tr w:rsidR="00C06EEF" w:rsidRPr="006E7E59" w14:paraId="50A655A5" w14:textId="77777777" w:rsidTr="007D3D3D">
        <w:trPr>
          <w:trHeight w:hRule="exact" w:val="851"/>
          <w:jc w:val="center"/>
        </w:trPr>
        <w:tc>
          <w:tcPr>
            <w:tcW w:w="2684" w:type="dxa"/>
            <w:tcBorders>
              <w:top w:val="single" w:sz="8" w:space="0" w:color="613612"/>
              <w:left w:val="single" w:sz="8" w:space="0" w:color="613612"/>
              <w:bottom w:val="single" w:sz="4" w:space="0" w:color="auto"/>
              <w:right w:val="single" w:sz="8" w:space="0" w:color="613612"/>
            </w:tcBorders>
            <w:shd w:val="clear" w:color="auto" w:fill="F2F2F2" w:themeFill="background1" w:themeFillShade="F2"/>
            <w:tcMar>
              <w:top w:w="100" w:type="dxa"/>
              <w:left w:w="100" w:type="dxa"/>
              <w:bottom w:w="100" w:type="dxa"/>
              <w:right w:w="100" w:type="dxa"/>
            </w:tcMar>
            <w:vAlign w:val="center"/>
          </w:tcPr>
          <w:p w14:paraId="6131290C" w14:textId="3B817FDB" w:rsidR="00C06EEF" w:rsidRPr="002A750B" w:rsidRDefault="009511C8" w:rsidP="009511C8">
            <w:pPr>
              <w:spacing w:after="0"/>
              <w:rPr>
                <w:rFonts w:cstheme="minorHAnsi"/>
                <w:b/>
                <w:sz w:val="26"/>
                <w:szCs w:val="26"/>
              </w:rPr>
            </w:pPr>
            <w:r>
              <w:rPr>
                <w:rFonts w:cstheme="minorHAnsi"/>
                <w:b/>
                <w:sz w:val="26"/>
                <w:szCs w:val="26"/>
              </w:rPr>
              <w:t>Location</w:t>
            </w:r>
          </w:p>
        </w:tc>
        <w:tc>
          <w:tcPr>
            <w:tcW w:w="8373" w:type="dxa"/>
            <w:tcBorders>
              <w:top w:val="single" w:sz="8" w:space="0" w:color="613612"/>
              <w:left w:val="single" w:sz="8" w:space="0" w:color="613612"/>
              <w:bottom w:val="single" w:sz="4" w:space="0" w:color="auto"/>
              <w:right w:val="single" w:sz="8" w:space="0" w:color="613612"/>
            </w:tcBorders>
            <w:vAlign w:val="center"/>
          </w:tcPr>
          <w:p w14:paraId="36009D7B" w14:textId="0EBAC17F" w:rsidR="00C06EEF" w:rsidRPr="00C257C2" w:rsidRDefault="00C257C2" w:rsidP="009511C8">
            <w:pPr>
              <w:spacing w:before="240" w:after="240"/>
              <w:rPr>
                <w:rFonts w:eastAsia="Open Sans" w:cstheme="minorHAnsi"/>
                <w:bCs/>
                <w:sz w:val="24"/>
                <w:szCs w:val="24"/>
              </w:rPr>
            </w:pPr>
            <w:r w:rsidRPr="00C257C2">
              <w:rPr>
                <w:rFonts w:eastAsia="Open Sans" w:cstheme="minorHAnsi"/>
                <w:bCs/>
                <w:sz w:val="24"/>
                <w:szCs w:val="24"/>
              </w:rPr>
              <w:t>Home Based with national travel</w:t>
            </w:r>
          </w:p>
        </w:tc>
      </w:tr>
      <w:tr w:rsidR="00C60E96" w:rsidRPr="006E7E59" w14:paraId="06F5DC7C" w14:textId="77777777" w:rsidTr="009511C8">
        <w:trPr>
          <w:trHeight w:val="510"/>
          <w:jc w:val="center"/>
        </w:trPr>
        <w:tc>
          <w:tcPr>
            <w:tcW w:w="2684" w:type="dxa"/>
            <w:tcBorders>
              <w:top w:val="single" w:sz="4" w:space="0" w:color="auto"/>
              <w:left w:val="nil"/>
              <w:bottom w:val="single" w:sz="4" w:space="0" w:color="auto"/>
              <w:right w:val="nil"/>
            </w:tcBorders>
            <w:tcMar>
              <w:top w:w="100" w:type="dxa"/>
              <w:left w:w="100" w:type="dxa"/>
              <w:bottom w:w="100" w:type="dxa"/>
              <w:right w:w="100" w:type="dxa"/>
            </w:tcMar>
          </w:tcPr>
          <w:p w14:paraId="3ADE5729" w14:textId="77777777" w:rsidR="00C60E96" w:rsidRPr="002A750B" w:rsidRDefault="00C60E96" w:rsidP="00AB3268">
            <w:pPr>
              <w:spacing w:after="0"/>
              <w:rPr>
                <w:rFonts w:cstheme="minorHAnsi"/>
                <w:b/>
                <w:sz w:val="26"/>
                <w:szCs w:val="26"/>
              </w:rPr>
            </w:pPr>
          </w:p>
        </w:tc>
        <w:tc>
          <w:tcPr>
            <w:tcW w:w="8373" w:type="dxa"/>
            <w:tcBorders>
              <w:top w:val="single" w:sz="4" w:space="0" w:color="auto"/>
              <w:left w:val="nil"/>
              <w:bottom w:val="single" w:sz="4" w:space="0" w:color="auto"/>
              <w:right w:val="nil"/>
            </w:tcBorders>
          </w:tcPr>
          <w:p w14:paraId="7EC281AE" w14:textId="77777777" w:rsidR="00C60E96" w:rsidRPr="00FE0214" w:rsidRDefault="00C60E96" w:rsidP="00C50DE3">
            <w:pPr>
              <w:spacing w:before="240" w:after="240"/>
              <w:rPr>
                <w:rFonts w:asciiTheme="majorHAnsi" w:eastAsia="Open Sans" w:hAnsiTheme="majorHAnsi" w:cstheme="majorHAnsi"/>
                <w:bCs/>
              </w:rPr>
            </w:pPr>
          </w:p>
        </w:tc>
      </w:tr>
      <w:tr w:rsidR="00C06EEF" w:rsidRPr="002A750B" w14:paraId="14B53D13" w14:textId="77777777" w:rsidTr="00C60E96">
        <w:trPr>
          <w:trHeight w:val="434"/>
          <w:jc w:val="center"/>
        </w:trPr>
        <w:tc>
          <w:tcPr>
            <w:tcW w:w="11057" w:type="dxa"/>
            <w:gridSpan w:val="2"/>
            <w:tcBorders>
              <w:top w:val="single" w:sz="4" w:space="0" w:color="auto"/>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18306C3E" w14:textId="38A6B41A" w:rsidR="00C06EEF" w:rsidRPr="002A750B" w:rsidRDefault="004B4455" w:rsidP="002A750B">
            <w:pPr>
              <w:tabs>
                <w:tab w:val="left" w:pos="1710"/>
              </w:tabs>
              <w:spacing w:after="0"/>
              <w:rPr>
                <w:rFonts w:cstheme="minorHAnsi"/>
                <w:b/>
                <w:sz w:val="26"/>
                <w:szCs w:val="26"/>
              </w:rPr>
            </w:pPr>
            <w:r>
              <w:rPr>
                <w:rFonts w:eastAsia="Open Sans" w:cstheme="minorHAnsi"/>
                <w:b/>
                <w:sz w:val="26"/>
                <w:szCs w:val="26"/>
              </w:rPr>
              <w:t>Summary</w:t>
            </w:r>
          </w:p>
        </w:tc>
      </w:tr>
      <w:tr w:rsidR="00C06EEF" w:rsidRPr="002A750B" w14:paraId="53380C64" w14:textId="77777777" w:rsidTr="00241880">
        <w:trPr>
          <w:trHeight w:val="1140"/>
          <w:jc w:val="center"/>
        </w:trPr>
        <w:tc>
          <w:tcPr>
            <w:tcW w:w="11057" w:type="dxa"/>
            <w:gridSpan w:val="2"/>
            <w:tcBorders>
              <w:top w:val="single" w:sz="8" w:space="0" w:color="613612"/>
              <w:left w:val="single" w:sz="8" w:space="0" w:color="613612"/>
              <w:bottom w:val="single" w:sz="8" w:space="0" w:color="613612"/>
              <w:right w:val="single" w:sz="8" w:space="0" w:color="613612"/>
            </w:tcBorders>
            <w:tcMar>
              <w:top w:w="100" w:type="dxa"/>
              <w:left w:w="100" w:type="dxa"/>
              <w:bottom w:w="100" w:type="dxa"/>
              <w:right w:w="100" w:type="dxa"/>
            </w:tcMar>
          </w:tcPr>
          <w:p w14:paraId="45B2D3A9" w14:textId="77777777" w:rsidR="00C257C2" w:rsidRPr="00C257C2" w:rsidRDefault="00C257C2" w:rsidP="00C257C2">
            <w:p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The Customer Relationship Manager (CRM) plays a critical role in driving sustainable business growth by securing new care packages, maximising opportunities within existing accounts, and supporting expansion across geographical areas. Working collaboratively with regional Operational and Clinical teams, the CRM develops and delivers a robust go-to-market strategy, strengthens commissioner relationships, and ensures that new packages are mobilised seamlessly.</w:t>
            </w:r>
          </w:p>
          <w:p w14:paraId="07F4BE60" w14:textId="0E783377" w:rsidR="00C06EEF" w:rsidRPr="00B20E18" w:rsidRDefault="00C257C2" w:rsidP="00B20E18">
            <w:pPr>
              <w:spacing w:before="100" w:beforeAutospacing="1" w:after="100" w:afterAutospacing="1" w:line="240" w:lineRule="auto"/>
              <w:rPr>
                <w:rFonts w:ascii="Arial" w:eastAsia="Times New Roman" w:hAnsi="Arial" w:cs="Arial"/>
                <w:lang w:eastAsia="en-GB"/>
              </w:rPr>
            </w:pPr>
            <w:r w:rsidRPr="00C257C2">
              <w:rPr>
                <w:rFonts w:eastAsia="Times New Roman" w:cstheme="minorHAnsi"/>
                <w:sz w:val="24"/>
                <w:szCs w:val="24"/>
                <w:lang w:eastAsia="en-GB"/>
              </w:rPr>
              <w:t>This is a fast-paced, commercially focused role operating within a growing and competitive market — requiring strategic thinking, exceptional relationship management, and a proactive, results-driven approach.</w:t>
            </w:r>
          </w:p>
        </w:tc>
      </w:tr>
      <w:tr w:rsidR="00C06EEF" w:rsidRPr="002A750B" w14:paraId="426126D4" w14:textId="77777777" w:rsidTr="00241880">
        <w:trPr>
          <w:trHeight w:val="364"/>
          <w:jc w:val="center"/>
        </w:trPr>
        <w:tc>
          <w:tcPr>
            <w:tcW w:w="11057" w:type="dxa"/>
            <w:gridSpan w:val="2"/>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284035EA" w14:textId="2CFFF9FE" w:rsidR="00C06EEF" w:rsidRPr="002A750B" w:rsidRDefault="00F30AB1" w:rsidP="002A750B">
            <w:pPr>
              <w:spacing w:after="0"/>
              <w:rPr>
                <w:rFonts w:eastAsia="Open Sans" w:cstheme="minorHAnsi"/>
                <w:b/>
                <w:sz w:val="26"/>
                <w:szCs w:val="26"/>
              </w:rPr>
            </w:pPr>
            <w:r>
              <w:rPr>
                <w:rFonts w:eastAsia="Open Sans" w:cstheme="minorHAnsi"/>
                <w:b/>
                <w:sz w:val="26"/>
                <w:szCs w:val="26"/>
              </w:rPr>
              <w:t>Key Responsibilities</w:t>
            </w:r>
            <w:r w:rsidR="00C06EEF" w:rsidRPr="002A750B">
              <w:rPr>
                <w:rFonts w:eastAsia="Open Sans" w:cstheme="minorHAnsi"/>
                <w:b/>
                <w:sz w:val="26"/>
                <w:szCs w:val="26"/>
              </w:rPr>
              <w:t xml:space="preserve"> </w:t>
            </w:r>
          </w:p>
        </w:tc>
      </w:tr>
      <w:tr w:rsidR="00F30AB1" w:rsidRPr="002A750B" w14:paraId="48F87894" w14:textId="77777777" w:rsidTr="00F30AB1">
        <w:trPr>
          <w:trHeight w:val="1080"/>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13594808" w14:textId="0A18ACB8" w:rsidR="00F30AB1" w:rsidRPr="00C257C2" w:rsidRDefault="00C257C2" w:rsidP="00C50DE3">
            <w:pPr>
              <w:spacing w:before="240" w:after="240"/>
              <w:rPr>
                <w:rFonts w:eastAsia="Open Sans" w:cstheme="minorHAnsi"/>
                <w:bCs/>
              </w:rPr>
            </w:pPr>
            <w:r w:rsidRPr="00C257C2">
              <w:rPr>
                <w:rFonts w:eastAsia="Open Sans" w:cstheme="minorHAnsi"/>
                <w:bCs/>
              </w:rPr>
              <w:t>Strategic Planning &amp; Sales Growth Execution</w:t>
            </w:r>
          </w:p>
        </w:tc>
        <w:tc>
          <w:tcPr>
            <w:tcW w:w="8373" w:type="dxa"/>
            <w:tcBorders>
              <w:top w:val="single" w:sz="8" w:space="0" w:color="613612"/>
              <w:left w:val="single" w:sz="8" w:space="0" w:color="613612"/>
              <w:bottom w:val="single" w:sz="8" w:space="0" w:color="613612"/>
              <w:right w:val="single" w:sz="8" w:space="0" w:color="613612"/>
            </w:tcBorders>
          </w:tcPr>
          <w:p w14:paraId="5FC372BF" w14:textId="11B9B742"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Develop and deliver a comprehensive Sales Plan aligned to business P&amp;L objectives and annual growth targets.</w:t>
            </w:r>
          </w:p>
          <w:p w14:paraId="6815FB20" w14:textId="756449CE"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Generate new business opportunities through ICBs, Local Authorities, private clients and case management referrers.</w:t>
            </w:r>
          </w:p>
          <w:p w14:paraId="2E4FF07D" w14:textId="45A0D0A1"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Monitor and report performance through weekly KPIs and regular business reviews.</w:t>
            </w:r>
          </w:p>
          <w:p w14:paraId="4BC9BA89" w14:textId="4BA5D6AD"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Maximise utilisation of staffing capacity by linking operational resources with sales opportunities.</w:t>
            </w:r>
          </w:p>
          <w:p w14:paraId="1505EC6B" w14:textId="1789173E"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Identify tender opportunities and lead internal coordination of submissions.</w:t>
            </w:r>
          </w:p>
          <w:p w14:paraId="1F4B85C3" w14:textId="1DF9A5B2"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lastRenderedPageBreak/>
              <w:t>Maintain accurate Customer and commercial data in CRM systems.</w:t>
            </w:r>
          </w:p>
          <w:p w14:paraId="2F5748DB" w14:textId="587C9B9F"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 xml:space="preserve">Coordinate the sales lifecycle from marketing engagement </w:t>
            </w:r>
            <w:r>
              <w:rPr>
                <w:rFonts w:eastAsia="Open Sans" w:cstheme="minorHAnsi"/>
                <w:bCs/>
                <w:sz w:val="24"/>
                <w:szCs w:val="24"/>
              </w:rPr>
              <w:t xml:space="preserve">- </w:t>
            </w:r>
            <w:r w:rsidRPr="00C257C2">
              <w:rPr>
                <w:rFonts w:eastAsia="Open Sans" w:cstheme="minorHAnsi"/>
                <w:bCs/>
                <w:sz w:val="24"/>
                <w:szCs w:val="24"/>
              </w:rPr>
              <w:t>referral</w:t>
            </w:r>
            <w:r>
              <w:rPr>
                <w:rFonts w:eastAsia="Open Sans" w:cstheme="minorHAnsi"/>
                <w:bCs/>
                <w:sz w:val="24"/>
                <w:szCs w:val="24"/>
              </w:rPr>
              <w:t xml:space="preserve"> - </w:t>
            </w:r>
            <w:r w:rsidRPr="00C257C2">
              <w:rPr>
                <w:rFonts w:eastAsia="Open Sans" w:cstheme="minorHAnsi"/>
                <w:bCs/>
                <w:sz w:val="24"/>
                <w:szCs w:val="24"/>
              </w:rPr>
              <w:t xml:space="preserve">award </w:t>
            </w:r>
            <w:r>
              <w:rPr>
                <w:rFonts w:eastAsia="Open Sans" w:cstheme="minorHAnsi"/>
                <w:bCs/>
                <w:sz w:val="24"/>
                <w:szCs w:val="24"/>
              </w:rPr>
              <w:t>-</w:t>
            </w:r>
            <w:r w:rsidRPr="00C257C2">
              <w:rPr>
                <w:rFonts w:eastAsia="Open Sans" w:cstheme="minorHAnsi"/>
                <w:bCs/>
                <w:sz w:val="24"/>
                <w:szCs w:val="24"/>
              </w:rPr>
              <w:t xml:space="preserve"> mobilisation.</w:t>
            </w:r>
          </w:p>
          <w:p w14:paraId="4292CA2E" w14:textId="3BAA80B2" w:rsidR="00C257C2"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Work collaboratively across business units to cross-sell Acuity Care Group services.</w:t>
            </w:r>
          </w:p>
          <w:p w14:paraId="241B5E2C" w14:textId="44838343" w:rsidR="006216E4" w:rsidRPr="00C257C2" w:rsidRDefault="00C257C2" w:rsidP="00C257C2">
            <w:pPr>
              <w:pStyle w:val="ListParagraph"/>
              <w:numPr>
                <w:ilvl w:val="0"/>
                <w:numId w:val="8"/>
              </w:numPr>
              <w:spacing w:before="240" w:after="240"/>
              <w:rPr>
                <w:rFonts w:eastAsia="Open Sans" w:cstheme="minorHAnsi"/>
                <w:bCs/>
                <w:sz w:val="24"/>
                <w:szCs w:val="24"/>
              </w:rPr>
            </w:pPr>
            <w:r w:rsidRPr="00C257C2">
              <w:rPr>
                <w:rFonts w:eastAsia="Open Sans" w:cstheme="minorHAnsi"/>
                <w:bCs/>
                <w:sz w:val="24"/>
                <w:szCs w:val="24"/>
              </w:rPr>
              <w:t>Attend internal and external sales meetings, networking events and marketing activities to build brand presence.</w:t>
            </w:r>
          </w:p>
        </w:tc>
      </w:tr>
      <w:tr w:rsidR="00712129" w:rsidRPr="002A750B" w14:paraId="3AB4F35D" w14:textId="77777777" w:rsidTr="00F30AB1">
        <w:trPr>
          <w:trHeight w:val="1080"/>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471229B6" w14:textId="31D7D57B" w:rsidR="00712129" w:rsidRPr="00E32729" w:rsidRDefault="00C257C2" w:rsidP="00C50DE3">
            <w:pPr>
              <w:spacing w:before="240" w:after="240"/>
              <w:rPr>
                <w:rFonts w:eastAsia="Open Sans" w:cstheme="minorHAnsi"/>
                <w:bCs/>
              </w:rPr>
            </w:pPr>
            <w:r w:rsidRPr="00C257C2">
              <w:rPr>
                <w:rFonts w:eastAsia="Open Sans" w:cstheme="minorHAnsi"/>
                <w:bCs/>
              </w:rPr>
              <w:lastRenderedPageBreak/>
              <w:t>New Package Sign-Off &amp; Mobilisation</w:t>
            </w:r>
          </w:p>
        </w:tc>
        <w:tc>
          <w:tcPr>
            <w:tcW w:w="8373" w:type="dxa"/>
            <w:tcBorders>
              <w:top w:val="single" w:sz="8" w:space="0" w:color="613612"/>
              <w:left w:val="single" w:sz="8" w:space="0" w:color="613612"/>
              <w:bottom w:val="single" w:sz="8" w:space="0" w:color="613612"/>
              <w:right w:val="single" w:sz="8" w:space="0" w:color="613612"/>
            </w:tcBorders>
          </w:tcPr>
          <w:p w14:paraId="69958A7E" w14:textId="07E46C70"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Assess viability of referrals including TUPE, risks and go/no-go recommendations.</w:t>
            </w:r>
          </w:p>
          <w:p w14:paraId="28EF05DA" w14:textId="6FD33F1A"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Prepare detailed quotations in a timely and accurate manner.</w:t>
            </w:r>
          </w:p>
          <w:p w14:paraId="74C03C42" w14:textId="46663467"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Obtain operational and clinical approval prior to contract commitment.</w:t>
            </w:r>
          </w:p>
          <w:p w14:paraId="0DD4956F" w14:textId="60DA828E"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E</w:t>
            </w:r>
            <w:r w:rsidRPr="00C257C2">
              <w:rPr>
                <w:rFonts w:eastAsia="Times New Roman" w:cstheme="minorHAnsi"/>
                <w:sz w:val="24"/>
                <w:szCs w:val="24"/>
                <w:lang w:eastAsia="en-GB"/>
              </w:rPr>
              <w:t>nsure contractual agreements are secured from commissioners or private clients.</w:t>
            </w:r>
          </w:p>
          <w:p w14:paraId="2F7574B4" w14:textId="13D55449"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Partner with Operations and Clinical Leads during mobilisation, maintaining oversight until fully established.</w:t>
            </w:r>
          </w:p>
          <w:p w14:paraId="1ED70A5A" w14:textId="143948B6" w:rsidR="00712129" w:rsidRPr="00C257C2" w:rsidRDefault="00C257C2" w:rsidP="00C257C2">
            <w:pPr>
              <w:numPr>
                <w:ilvl w:val="0"/>
                <w:numId w:val="10"/>
              </w:numPr>
              <w:spacing w:before="100" w:beforeAutospacing="1" w:after="100" w:afterAutospacing="1" w:line="240" w:lineRule="auto"/>
              <w:rPr>
                <w:rFonts w:ascii="Arial" w:eastAsia="Times New Roman" w:hAnsi="Arial" w:cs="Arial"/>
                <w:lang w:eastAsia="en-GB"/>
              </w:rPr>
            </w:pPr>
            <w:r w:rsidRPr="00C257C2">
              <w:rPr>
                <w:rFonts w:eastAsia="Times New Roman" w:cstheme="minorHAnsi"/>
                <w:sz w:val="24"/>
                <w:szCs w:val="24"/>
                <w:lang w:eastAsia="en-GB"/>
              </w:rPr>
              <w:t>Conduct follow-up communication to ensure satisfaction and leverage success for further growth.</w:t>
            </w:r>
          </w:p>
        </w:tc>
      </w:tr>
      <w:tr w:rsidR="0024162B" w:rsidRPr="002A750B" w14:paraId="1A73EECB" w14:textId="77777777" w:rsidTr="00F30AB1">
        <w:trPr>
          <w:trHeight w:val="1080"/>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1DF91256" w14:textId="1EC63CF1" w:rsidR="0024162B" w:rsidRPr="00E32729" w:rsidRDefault="00C257C2" w:rsidP="00CB01A4">
            <w:pPr>
              <w:spacing w:before="100" w:beforeAutospacing="1" w:after="100" w:afterAutospacing="1" w:line="240" w:lineRule="auto"/>
              <w:rPr>
                <w:rFonts w:eastAsia="Open Sans" w:cstheme="minorHAnsi"/>
                <w:bCs/>
              </w:rPr>
            </w:pPr>
            <w:r w:rsidRPr="00C257C2">
              <w:rPr>
                <w:rFonts w:eastAsia="Open Sans" w:cstheme="minorHAnsi"/>
                <w:bCs/>
              </w:rPr>
              <w:t>Client Retention &amp; Account Development</w:t>
            </w:r>
          </w:p>
        </w:tc>
        <w:tc>
          <w:tcPr>
            <w:tcW w:w="8373" w:type="dxa"/>
            <w:tcBorders>
              <w:top w:val="single" w:sz="8" w:space="0" w:color="613612"/>
              <w:left w:val="single" w:sz="8" w:space="0" w:color="613612"/>
              <w:bottom w:val="single" w:sz="8" w:space="0" w:color="613612"/>
              <w:right w:val="single" w:sz="8" w:space="0" w:color="613612"/>
            </w:tcBorders>
          </w:tcPr>
          <w:p w14:paraId="4A57DEB1" w14:textId="20179CB1"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Actively manage strong professional relationships across key accounts with Operational Managers.</w:t>
            </w:r>
          </w:p>
          <w:p w14:paraId="2806F8A8" w14:textId="64CAF645"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Maintain Account Plans to monitor revenue performance, risk areas and growth potential.</w:t>
            </w:r>
          </w:p>
          <w:p w14:paraId="2E7DFC08" w14:textId="46D264BB"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Identify opportunities for further expansion within existing customers.</w:t>
            </w:r>
          </w:p>
          <w:p w14:paraId="77412D4E" w14:textId="360BF274" w:rsidR="0024162B" w:rsidRPr="00C257C2" w:rsidRDefault="00C257C2" w:rsidP="00C257C2">
            <w:pPr>
              <w:numPr>
                <w:ilvl w:val="0"/>
                <w:numId w:val="10"/>
              </w:numPr>
              <w:spacing w:before="100" w:beforeAutospacing="1" w:after="100" w:afterAutospacing="1" w:line="240" w:lineRule="auto"/>
              <w:rPr>
                <w:rFonts w:eastAsia="Times New Roman" w:cstheme="minorHAnsi"/>
                <w:lang w:eastAsia="en-GB"/>
              </w:rPr>
            </w:pPr>
            <w:r w:rsidRPr="00C257C2">
              <w:rPr>
                <w:rFonts w:eastAsia="Times New Roman" w:cstheme="minorHAnsi"/>
                <w:sz w:val="24"/>
                <w:szCs w:val="24"/>
                <w:lang w:eastAsia="en-GB"/>
              </w:rPr>
              <w:t>Resolve issues proactively to protect reputation and service continuity.</w:t>
            </w:r>
          </w:p>
        </w:tc>
      </w:tr>
      <w:tr w:rsidR="00C257C2" w:rsidRPr="002A750B" w14:paraId="79965FA0" w14:textId="77777777" w:rsidTr="00F30AB1">
        <w:trPr>
          <w:trHeight w:val="1080"/>
          <w:jc w:val="center"/>
        </w:trPr>
        <w:tc>
          <w:tcPr>
            <w:tcW w:w="2684"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1580A499" w14:textId="4CA1C068" w:rsidR="00C257C2" w:rsidRPr="00C257C2" w:rsidRDefault="00C257C2" w:rsidP="00CB01A4">
            <w:pPr>
              <w:spacing w:before="100" w:beforeAutospacing="1" w:after="100" w:afterAutospacing="1" w:line="240" w:lineRule="auto"/>
              <w:rPr>
                <w:rFonts w:eastAsia="Open Sans" w:cstheme="minorHAnsi"/>
                <w:bCs/>
              </w:rPr>
            </w:pPr>
            <w:r w:rsidRPr="00C257C2">
              <w:rPr>
                <w:rFonts w:eastAsia="Open Sans" w:cstheme="minorHAnsi"/>
                <w:bCs/>
              </w:rPr>
              <w:t>Working Relationships &amp; Communication</w:t>
            </w:r>
          </w:p>
        </w:tc>
        <w:tc>
          <w:tcPr>
            <w:tcW w:w="8373" w:type="dxa"/>
            <w:tcBorders>
              <w:top w:val="single" w:sz="8" w:space="0" w:color="613612"/>
              <w:left w:val="single" w:sz="8" w:space="0" w:color="613612"/>
              <w:bottom w:val="single" w:sz="8" w:space="0" w:color="613612"/>
              <w:right w:val="single" w:sz="8" w:space="0" w:color="613612"/>
            </w:tcBorders>
          </w:tcPr>
          <w:p w14:paraId="6737B044" w14:textId="403C0339"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Build effective working relationships across internal functions including Operations, Clinical, Recruitment, Finance, and Marketing.</w:t>
            </w:r>
          </w:p>
          <w:p w14:paraId="5E721CEF" w14:textId="1CF64DF1"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Engage commissioners, partners, families and external agencies professionally and collaboratively.</w:t>
            </w:r>
          </w:p>
          <w:p w14:paraId="5ACCDCCE" w14:textId="7B044F1E"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Provide content and intelligence to Marketing to support targeted campaigns and maintain customer engagement.</w:t>
            </w:r>
          </w:p>
          <w:p w14:paraId="03373FC7" w14:textId="56939ABD" w:rsidR="00C257C2" w:rsidRPr="00C257C2" w:rsidRDefault="00C257C2" w:rsidP="00C257C2">
            <w:pPr>
              <w:numPr>
                <w:ilvl w:val="0"/>
                <w:numId w:val="10"/>
              </w:numPr>
              <w:spacing w:before="100" w:beforeAutospacing="1" w:after="100" w:afterAutospacing="1" w:line="240" w:lineRule="auto"/>
              <w:rPr>
                <w:rFonts w:eastAsia="Times New Roman" w:cstheme="minorHAnsi"/>
                <w:sz w:val="24"/>
                <w:szCs w:val="24"/>
                <w:lang w:eastAsia="en-GB"/>
              </w:rPr>
            </w:pPr>
            <w:r w:rsidRPr="00C257C2">
              <w:rPr>
                <w:rFonts w:eastAsia="Times New Roman" w:cstheme="minorHAnsi"/>
                <w:sz w:val="24"/>
                <w:szCs w:val="24"/>
                <w:lang w:eastAsia="en-GB"/>
              </w:rPr>
              <w:t>Represent regional and organisational interests in operational and commercial meetings including pipeline, KPI reviews and business performance updates.</w:t>
            </w:r>
          </w:p>
        </w:tc>
      </w:tr>
    </w:tbl>
    <w:p w14:paraId="537A1222" w14:textId="77777777" w:rsidR="002016E3" w:rsidRPr="002A750B" w:rsidRDefault="002016E3" w:rsidP="002016E3">
      <w:pPr>
        <w:rPr>
          <w:rFonts w:cstheme="minorHAnsi"/>
          <w:sz w:val="26"/>
          <w:szCs w:val="26"/>
        </w:rPr>
      </w:pPr>
    </w:p>
    <w:tbl>
      <w:tblPr>
        <w:tblW w:w="11057"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1057"/>
      </w:tblGrid>
      <w:tr w:rsidR="005221E2" w:rsidRPr="002A750B" w14:paraId="501FA076" w14:textId="77777777" w:rsidTr="002A750B">
        <w:trPr>
          <w:trHeight w:val="678"/>
        </w:trPr>
        <w:tc>
          <w:tcPr>
            <w:tcW w:w="11057" w:type="dxa"/>
            <w:tcBorders>
              <w:top w:val="single" w:sz="8" w:space="0" w:color="613612"/>
              <w:left w:val="single" w:sz="8" w:space="0" w:color="613612"/>
              <w:bottom w:val="single" w:sz="8" w:space="0" w:color="613612"/>
              <w:right w:val="single" w:sz="8" w:space="0" w:color="613612"/>
            </w:tcBorders>
            <w:shd w:val="clear" w:color="auto" w:fill="F2F2F2" w:themeFill="background1" w:themeFillShade="F2"/>
            <w:tcMar>
              <w:top w:w="100" w:type="dxa"/>
              <w:left w:w="100" w:type="dxa"/>
              <w:bottom w:w="100" w:type="dxa"/>
              <w:right w:w="100" w:type="dxa"/>
            </w:tcMar>
          </w:tcPr>
          <w:p w14:paraId="532867B6" w14:textId="5E28A2E0" w:rsidR="005221E2" w:rsidRPr="002A750B" w:rsidRDefault="004B4455" w:rsidP="00C50DE3">
            <w:pPr>
              <w:spacing w:before="240" w:after="240"/>
              <w:rPr>
                <w:rFonts w:eastAsia="Open Sans" w:cstheme="minorHAnsi"/>
                <w:b/>
                <w:sz w:val="26"/>
                <w:szCs w:val="26"/>
              </w:rPr>
            </w:pPr>
            <w:r>
              <w:rPr>
                <w:rFonts w:eastAsia="Open Sans" w:cstheme="minorHAnsi"/>
                <w:b/>
                <w:sz w:val="26"/>
                <w:szCs w:val="26"/>
              </w:rPr>
              <w:t>Qualifications and Skills</w:t>
            </w:r>
            <w:r w:rsidR="005221E2" w:rsidRPr="002A750B">
              <w:rPr>
                <w:rFonts w:eastAsia="Open Sans" w:cstheme="minorHAnsi"/>
                <w:b/>
                <w:sz w:val="26"/>
                <w:szCs w:val="26"/>
              </w:rPr>
              <w:t xml:space="preserve"> </w:t>
            </w:r>
          </w:p>
        </w:tc>
      </w:tr>
      <w:tr w:rsidR="005221E2" w:rsidRPr="002A750B" w14:paraId="1EEB3EDC" w14:textId="77777777" w:rsidTr="002A750B">
        <w:trPr>
          <w:trHeight w:val="1080"/>
        </w:trPr>
        <w:tc>
          <w:tcPr>
            <w:tcW w:w="11057" w:type="dxa"/>
            <w:tcBorders>
              <w:top w:val="single" w:sz="8" w:space="0" w:color="613612"/>
              <w:left w:val="single" w:sz="8" w:space="0" w:color="613612"/>
              <w:bottom w:val="single" w:sz="8" w:space="0" w:color="613612"/>
              <w:right w:val="single" w:sz="8" w:space="0" w:color="613612"/>
            </w:tcBorders>
            <w:tcMar>
              <w:top w:w="100" w:type="dxa"/>
              <w:left w:w="100" w:type="dxa"/>
              <w:bottom w:w="100" w:type="dxa"/>
              <w:right w:w="100" w:type="dxa"/>
            </w:tcMar>
          </w:tcPr>
          <w:p w14:paraId="01BCE94E" w14:textId="285D1AE9" w:rsidR="00466B47" w:rsidRPr="00466B47" w:rsidRDefault="00C257C2" w:rsidP="00466B47">
            <w:pPr>
              <w:spacing w:before="240" w:after="0"/>
              <w:rPr>
                <w:rFonts w:eastAsia="Open Sans" w:cstheme="minorHAnsi"/>
                <w:b/>
              </w:rPr>
            </w:pPr>
            <w:r>
              <w:rPr>
                <w:rFonts w:eastAsia="Open Sans" w:cstheme="minorHAnsi"/>
                <w:b/>
              </w:rPr>
              <w:lastRenderedPageBreak/>
              <w:t>E</w:t>
            </w:r>
            <w:r w:rsidR="00466B47" w:rsidRPr="00466B47">
              <w:rPr>
                <w:rFonts w:eastAsia="Open Sans" w:cstheme="minorHAnsi"/>
                <w:b/>
              </w:rPr>
              <w:t xml:space="preserve">xperience: </w:t>
            </w:r>
          </w:p>
          <w:p w14:paraId="4756B8FB" w14:textId="669E5711" w:rsidR="00C257C2" w:rsidRPr="00C257C2" w:rsidRDefault="00C257C2" w:rsidP="00C257C2">
            <w:pPr>
              <w:pStyle w:val="ListParagraph"/>
              <w:numPr>
                <w:ilvl w:val="0"/>
                <w:numId w:val="12"/>
              </w:numPr>
              <w:spacing w:before="240" w:after="0"/>
              <w:rPr>
                <w:rFonts w:eastAsia="Open Sans" w:cstheme="minorHAnsi"/>
                <w:bCs/>
                <w:sz w:val="24"/>
                <w:szCs w:val="24"/>
              </w:rPr>
            </w:pPr>
            <w:r w:rsidRPr="00C257C2">
              <w:rPr>
                <w:rFonts w:eastAsia="Open Sans" w:cstheme="minorHAnsi"/>
                <w:bCs/>
                <w:sz w:val="24"/>
                <w:szCs w:val="24"/>
              </w:rPr>
              <w:t>Demonstrable success in Sales/Business Development within health &amp; social care.</w:t>
            </w:r>
          </w:p>
          <w:p w14:paraId="65035670" w14:textId="486027F0" w:rsidR="00C257C2" w:rsidRPr="00C257C2" w:rsidRDefault="00C257C2" w:rsidP="00C257C2">
            <w:pPr>
              <w:pStyle w:val="ListParagraph"/>
              <w:numPr>
                <w:ilvl w:val="0"/>
                <w:numId w:val="12"/>
              </w:numPr>
              <w:spacing w:before="240" w:after="0"/>
              <w:rPr>
                <w:rFonts w:eastAsia="Open Sans" w:cstheme="minorHAnsi"/>
                <w:bCs/>
                <w:sz w:val="24"/>
                <w:szCs w:val="24"/>
              </w:rPr>
            </w:pPr>
            <w:r w:rsidRPr="00C257C2">
              <w:rPr>
                <w:rFonts w:eastAsia="Open Sans" w:cstheme="minorHAnsi"/>
                <w:bCs/>
                <w:sz w:val="24"/>
                <w:szCs w:val="24"/>
              </w:rPr>
              <w:t>Experience building customer relationships with ICBs, Local Authorities, commissioners, and/or private sector referrers.</w:t>
            </w:r>
          </w:p>
          <w:p w14:paraId="5169ADAA" w14:textId="3F2E9F70" w:rsidR="002A1F57" w:rsidRPr="00C257C2" w:rsidRDefault="00C257C2" w:rsidP="00466B47">
            <w:pPr>
              <w:pStyle w:val="ListParagraph"/>
              <w:numPr>
                <w:ilvl w:val="0"/>
                <w:numId w:val="12"/>
              </w:numPr>
              <w:spacing w:before="240" w:after="0"/>
              <w:rPr>
                <w:rFonts w:eastAsia="Open Sans" w:cstheme="minorHAnsi"/>
                <w:bCs/>
                <w:sz w:val="24"/>
                <w:szCs w:val="24"/>
              </w:rPr>
            </w:pPr>
            <w:r w:rsidRPr="00C257C2">
              <w:rPr>
                <w:rFonts w:eastAsia="Open Sans" w:cstheme="minorHAnsi"/>
                <w:bCs/>
                <w:sz w:val="24"/>
                <w:szCs w:val="24"/>
              </w:rPr>
              <w:t>Track record of achieving commercial targets and expanding complex service portfolios.</w:t>
            </w:r>
          </w:p>
          <w:p w14:paraId="322AC2E9" w14:textId="6E9B2865" w:rsidR="00466B47" w:rsidRPr="00466B47" w:rsidRDefault="00466B47" w:rsidP="00466B47">
            <w:pPr>
              <w:spacing w:before="240" w:after="0"/>
              <w:rPr>
                <w:rFonts w:eastAsia="Open Sans" w:cstheme="minorHAnsi"/>
                <w:b/>
              </w:rPr>
            </w:pPr>
            <w:r w:rsidRPr="00466B47">
              <w:rPr>
                <w:rFonts w:eastAsia="Open Sans" w:cstheme="minorHAnsi"/>
                <w:b/>
              </w:rPr>
              <w:t xml:space="preserve">Technical Skills: </w:t>
            </w:r>
          </w:p>
          <w:p w14:paraId="4D64200D" w14:textId="2D93CAED" w:rsidR="00C257C2" w:rsidRPr="00C257C2" w:rsidRDefault="00C257C2" w:rsidP="00C257C2">
            <w:pPr>
              <w:pStyle w:val="ListParagraph"/>
              <w:numPr>
                <w:ilvl w:val="0"/>
                <w:numId w:val="13"/>
              </w:numPr>
              <w:spacing w:before="240" w:after="0"/>
              <w:rPr>
                <w:rFonts w:eastAsia="Open Sans" w:cstheme="minorHAnsi"/>
                <w:bCs/>
                <w:sz w:val="24"/>
                <w:szCs w:val="24"/>
              </w:rPr>
            </w:pPr>
            <w:r w:rsidRPr="00C257C2">
              <w:rPr>
                <w:rFonts w:eastAsia="Open Sans" w:cstheme="minorHAnsi"/>
                <w:bCs/>
                <w:sz w:val="24"/>
                <w:szCs w:val="24"/>
              </w:rPr>
              <w:t>Competent in CRM systems and commercial data reporting.</w:t>
            </w:r>
          </w:p>
          <w:p w14:paraId="152E7C60" w14:textId="13A5066C" w:rsidR="00C257C2" w:rsidRPr="00C257C2" w:rsidRDefault="00C257C2" w:rsidP="00C257C2">
            <w:pPr>
              <w:pStyle w:val="ListParagraph"/>
              <w:numPr>
                <w:ilvl w:val="0"/>
                <w:numId w:val="13"/>
              </w:numPr>
              <w:spacing w:before="240" w:after="0"/>
              <w:rPr>
                <w:rFonts w:eastAsia="Open Sans" w:cstheme="minorHAnsi"/>
                <w:bCs/>
                <w:sz w:val="24"/>
                <w:szCs w:val="24"/>
              </w:rPr>
            </w:pPr>
            <w:r w:rsidRPr="00C257C2">
              <w:rPr>
                <w:rFonts w:eastAsia="Open Sans" w:cstheme="minorHAnsi"/>
                <w:bCs/>
                <w:sz w:val="24"/>
                <w:szCs w:val="24"/>
              </w:rPr>
              <w:t>Skilled in managing tender processes and generating persuasive proposals.</w:t>
            </w:r>
          </w:p>
          <w:p w14:paraId="57BA174E" w14:textId="142B7E75" w:rsidR="002A1F57" w:rsidRPr="00C257C2" w:rsidRDefault="00C257C2" w:rsidP="00C257C2">
            <w:pPr>
              <w:pStyle w:val="ListParagraph"/>
              <w:numPr>
                <w:ilvl w:val="0"/>
                <w:numId w:val="13"/>
              </w:numPr>
              <w:spacing w:before="240" w:after="0"/>
              <w:rPr>
                <w:rFonts w:eastAsia="Open Sans" w:cstheme="minorHAnsi"/>
                <w:bCs/>
                <w:sz w:val="24"/>
                <w:szCs w:val="24"/>
              </w:rPr>
            </w:pPr>
            <w:r w:rsidRPr="00C257C2">
              <w:rPr>
                <w:rFonts w:eastAsia="Open Sans" w:cstheme="minorHAnsi"/>
                <w:bCs/>
                <w:sz w:val="24"/>
                <w:szCs w:val="24"/>
              </w:rPr>
              <w:t>Effective contract, pricing, and pipeline management.</w:t>
            </w:r>
          </w:p>
          <w:p w14:paraId="16FBA45E" w14:textId="0B871194" w:rsidR="00466B47" w:rsidRPr="00466B47" w:rsidRDefault="00466B47" w:rsidP="00466B47">
            <w:pPr>
              <w:spacing w:before="240" w:after="0"/>
              <w:rPr>
                <w:rFonts w:eastAsia="Open Sans" w:cstheme="minorHAnsi"/>
                <w:b/>
              </w:rPr>
            </w:pPr>
            <w:r w:rsidRPr="00466B47">
              <w:rPr>
                <w:rFonts w:eastAsia="Open Sans" w:cstheme="minorHAnsi"/>
                <w:b/>
              </w:rPr>
              <w:t xml:space="preserve">Communication: </w:t>
            </w:r>
          </w:p>
          <w:p w14:paraId="07170F5C" w14:textId="4D06AC00" w:rsidR="00C257C2" w:rsidRPr="00C257C2" w:rsidRDefault="00C257C2" w:rsidP="00C257C2">
            <w:pPr>
              <w:pStyle w:val="ListParagraph"/>
              <w:numPr>
                <w:ilvl w:val="0"/>
                <w:numId w:val="14"/>
              </w:numPr>
              <w:spacing w:before="240" w:after="0"/>
              <w:rPr>
                <w:rFonts w:eastAsia="Open Sans" w:cstheme="minorHAnsi"/>
                <w:bCs/>
                <w:sz w:val="24"/>
                <w:szCs w:val="24"/>
              </w:rPr>
            </w:pPr>
            <w:r w:rsidRPr="00C257C2">
              <w:rPr>
                <w:rFonts w:eastAsia="Open Sans" w:cstheme="minorHAnsi"/>
                <w:bCs/>
                <w:sz w:val="24"/>
                <w:szCs w:val="24"/>
              </w:rPr>
              <w:t>Excellent stakeholder engagement and influencing skills.</w:t>
            </w:r>
          </w:p>
          <w:p w14:paraId="1AB4E197" w14:textId="1BE643BD" w:rsidR="00C257C2" w:rsidRPr="00C257C2" w:rsidRDefault="00C257C2" w:rsidP="00C257C2">
            <w:pPr>
              <w:pStyle w:val="ListParagraph"/>
              <w:numPr>
                <w:ilvl w:val="0"/>
                <w:numId w:val="14"/>
              </w:numPr>
              <w:spacing w:before="240" w:after="0"/>
              <w:rPr>
                <w:rFonts w:eastAsia="Open Sans" w:cstheme="minorHAnsi"/>
                <w:bCs/>
                <w:sz w:val="24"/>
                <w:szCs w:val="24"/>
              </w:rPr>
            </w:pPr>
            <w:r w:rsidRPr="00C257C2">
              <w:rPr>
                <w:rFonts w:eastAsia="Open Sans" w:cstheme="minorHAnsi"/>
                <w:bCs/>
                <w:sz w:val="24"/>
                <w:szCs w:val="24"/>
              </w:rPr>
              <w:t>Able to communicate confidently with senior external decision-makers.</w:t>
            </w:r>
          </w:p>
          <w:p w14:paraId="73BAACF6" w14:textId="60A900F7" w:rsidR="002A1F57" w:rsidRPr="00C257C2" w:rsidRDefault="00C257C2" w:rsidP="00466B47">
            <w:pPr>
              <w:pStyle w:val="ListParagraph"/>
              <w:numPr>
                <w:ilvl w:val="0"/>
                <w:numId w:val="14"/>
              </w:numPr>
              <w:spacing w:before="240" w:after="0"/>
              <w:rPr>
                <w:rFonts w:eastAsia="Open Sans" w:cstheme="minorHAnsi"/>
                <w:bCs/>
                <w:sz w:val="24"/>
                <w:szCs w:val="24"/>
              </w:rPr>
            </w:pPr>
            <w:r w:rsidRPr="00C257C2">
              <w:rPr>
                <w:rFonts w:eastAsia="Open Sans" w:cstheme="minorHAnsi"/>
                <w:bCs/>
                <w:sz w:val="24"/>
                <w:szCs w:val="24"/>
              </w:rPr>
              <w:t>Strong presentation and negotiation capabilities.</w:t>
            </w:r>
          </w:p>
          <w:p w14:paraId="2034D414" w14:textId="1C1BDB59" w:rsidR="00466B47" w:rsidRPr="00466B47" w:rsidRDefault="00466B47" w:rsidP="00466B47">
            <w:pPr>
              <w:spacing w:before="240" w:after="0"/>
              <w:rPr>
                <w:rFonts w:eastAsia="Open Sans" w:cstheme="minorHAnsi"/>
                <w:b/>
              </w:rPr>
            </w:pPr>
            <w:r w:rsidRPr="00466B47">
              <w:rPr>
                <w:rFonts w:eastAsia="Open Sans" w:cstheme="minorHAnsi"/>
                <w:b/>
              </w:rPr>
              <w:t>Organi</w:t>
            </w:r>
            <w:r>
              <w:rPr>
                <w:rFonts w:eastAsia="Open Sans" w:cstheme="minorHAnsi"/>
                <w:b/>
              </w:rPr>
              <w:t>s</w:t>
            </w:r>
            <w:r w:rsidRPr="00466B47">
              <w:rPr>
                <w:rFonts w:eastAsia="Open Sans" w:cstheme="minorHAnsi"/>
                <w:b/>
              </w:rPr>
              <w:t>ational Skills:</w:t>
            </w:r>
          </w:p>
          <w:p w14:paraId="33BC2942" w14:textId="79728B0C" w:rsidR="00C257C2" w:rsidRPr="00C257C2" w:rsidRDefault="00C257C2" w:rsidP="00C257C2">
            <w:pPr>
              <w:pStyle w:val="ListParagraph"/>
              <w:numPr>
                <w:ilvl w:val="0"/>
                <w:numId w:val="15"/>
              </w:numPr>
              <w:spacing w:before="240" w:after="0"/>
              <w:rPr>
                <w:rFonts w:eastAsia="Open Sans" w:cstheme="minorHAnsi"/>
                <w:bCs/>
                <w:sz w:val="24"/>
                <w:szCs w:val="24"/>
              </w:rPr>
            </w:pPr>
            <w:r w:rsidRPr="00C257C2">
              <w:rPr>
                <w:rFonts w:eastAsia="Open Sans" w:cstheme="minorHAnsi"/>
                <w:bCs/>
                <w:sz w:val="24"/>
                <w:szCs w:val="24"/>
              </w:rPr>
              <w:t>Effective planning and prioritisation across multiple workstreams.</w:t>
            </w:r>
          </w:p>
          <w:p w14:paraId="5487866B" w14:textId="28753160" w:rsidR="00C257C2" w:rsidRPr="00C257C2" w:rsidRDefault="00C257C2" w:rsidP="00C257C2">
            <w:pPr>
              <w:pStyle w:val="ListParagraph"/>
              <w:numPr>
                <w:ilvl w:val="0"/>
                <w:numId w:val="15"/>
              </w:numPr>
              <w:spacing w:before="240" w:after="0"/>
              <w:rPr>
                <w:rFonts w:eastAsia="Open Sans" w:cstheme="minorHAnsi"/>
                <w:bCs/>
                <w:sz w:val="24"/>
                <w:szCs w:val="24"/>
              </w:rPr>
            </w:pPr>
            <w:r w:rsidRPr="00C257C2">
              <w:rPr>
                <w:rFonts w:eastAsia="Open Sans" w:cstheme="minorHAnsi"/>
                <w:bCs/>
                <w:sz w:val="24"/>
                <w:szCs w:val="24"/>
              </w:rPr>
              <w:t>Ability to work autonomously and travel within region as required.</w:t>
            </w:r>
          </w:p>
          <w:p w14:paraId="7DCF10D7" w14:textId="062FEF82" w:rsidR="002A1F57" w:rsidRPr="00C257C2" w:rsidRDefault="00C257C2" w:rsidP="00466B47">
            <w:pPr>
              <w:pStyle w:val="ListParagraph"/>
              <w:numPr>
                <w:ilvl w:val="0"/>
                <w:numId w:val="15"/>
              </w:numPr>
              <w:spacing w:before="240" w:after="0"/>
              <w:rPr>
                <w:rFonts w:eastAsia="Open Sans" w:cstheme="minorHAnsi"/>
                <w:bCs/>
                <w:sz w:val="24"/>
                <w:szCs w:val="24"/>
              </w:rPr>
            </w:pPr>
            <w:r w:rsidRPr="00C257C2">
              <w:rPr>
                <w:rFonts w:eastAsia="Open Sans" w:cstheme="minorHAnsi"/>
                <w:bCs/>
                <w:sz w:val="24"/>
                <w:szCs w:val="24"/>
              </w:rPr>
              <w:t>Proactive in identifying solutions in a fast-paced environment.</w:t>
            </w:r>
          </w:p>
          <w:p w14:paraId="24ADF6AE" w14:textId="7E04160E" w:rsidR="00466B47" w:rsidRPr="00466B47" w:rsidRDefault="00466B47" w:rsidP="00466B47">
            <w:pPr>
              <w:spacing w:before="240" w:after="0"/>
              <w:rPr>
                <w:rFonts w:eastAsia="Open Sans" w:cstheme="minorHAnsi"/>
                <w:b/>
              </w:rPr>
            </w:pPr>
            <w:r w:rsidRPr="00466B47">
              <w:rPr>
                <w:rFonts w:eastAsia="Open Sans" w:cstheme="minorHAnsi"/>
                <w:b/>
              </w:rPr>
              <w:t xml:space="preserve">Regulatory Awareness: </w:t>
            </w:r>
          </w:p>
          <w:p w14:paraId="7AA7071F" w14:textId="1442E2C1" w:rsidR="00C257C2" w:rsidRPr="00C257C2" w:rsidRDefault="00C257C2" w:rsidP="00C257C2">
            <w:pPr>
              <w:pStyle w:val="ListParagraph"/>
              <w:numPr>
                <w:ilvl w:val="0"/>
                <w:numId w:val="16"/>
              </w:numPr>
              <w:spacing w:before="240" w:after="0"/>
              <w:rPr>
                <w:rFonts w:eastAsia="Open Sans" w:cstheme="minorHAnsi"/>
                <w:bCs/>
                <w:sz w:val="24"/>
                <w:szCs w:val="24"/>
              </w:rPr>
            </w:pPr>
            <w:r w:rsidRPr="00C257C2">
              <w:rPr>
                <w:rFonts w:eastAsia="Open Sans" w:cstheme="minorHAnsi"/>
                <w:bCs/>
                <w:sz w:val="24"/>
                <w:szCs w:val="24"/>
              </w:rPr>
              <w:t>Understanding of commissioning pathways, complex care market dynamics and integrated care systems.</w:t>
            </w:r>
          </w:p>
          <w:p w14:paraId="685BA58F" w14:textId="34B4B647" w:rsidR="005221E2" w:rsidRPr="00C257C2" w:rsidRDefault="00C257C2" w:rsidP="00466B47">
            <w:pPr>
              <w:pStyle w:val="ListParagraph"/>
              <w:numPr>
                <w:ilvl w:val="0"/>
                <w:numId w:val="16"/>
              </w:numPr>
              <w:spacing w:before="240" w:after="0"/>
              <w:rPr>
                <w:rFonts w:eastAsia="Open Sans" w:cstheme="minorHAnsi"/>
                <w:bCs/>
                <w:sz w:val="26"/>
                <w:szCs w:val="26"/>
              </w:rPr>
            </w:pPr>
            <w:r w:rsidRPr="00C257C2">
              <w:rPr>
                <w:rFonts w:eastAsia="Open Sans" w:cstheme="minorHAnsi"/>
                <w:bCs/>
                <w:sz w:val="24"/>
                <w:szCs w:val="24"/>
              </w:rPr>
              <w:t>Commitment to compliance, data accuracy, and safeguarding principles</w:t>
            </w:r>
            <w:r w:rsidRPr="00C257C2">
              <w:rPr>
                <w:rFonts w:eastAsia="Open Sans" w:cstheme="minorHAnsi"/>
                <w:bCs/>
                <w:sz w:val="26"/>
                <w:szCs w:val="26"/>
              </w:rPr>
              <w:t>.</w:t>
            </w:r>
          </w:p>
        </w:tc>
      </w:tr>
    </w:tbl>
    <w:p w14:paraId="400E19CF" w14:textId="40CFDA92" w:rsidR="002016E3" w:rsidRPr="002016E3" w:rsidRDefault="002016E3" w:rsidP="00B20E18">
      <w:pPr>
        <w:tabs>
          <w:tab w:val="left" w:pos="4230"/>
        </w:tabs>
      </w:pPr>
    </w:p>
    <w:sectPr w:rsidR="002016E3" w:rsidRPr="002016E3" w:rsidSect="000733C2">
      <w:headerReference w:type="default" r:id="rId11"/>
      <w:footerReference w:type="default" r:id="rId1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FF90" w14:textId="77777777" w:rsidR="003D1B93" w:rsidRDefault="003D1B93" w:rsidP="0044267A">
      <w:pPr>
        <w:spacing w:after="0" w:line="240" w:lineRule="auto"/>
      </w:pPr>
      <w:r>
        <w:separator/>
      </w:r>
    </w:p>
  </w:endnote>
  <w:endnote w:type="continuationSeparator" w:id="0">
    <w:p w14:paraId="1DD13D7F" w14:textId="77777777" w:rsidR="003D1B93" w:rsidRDefault="003D1B93" w:rsidP="0044267A">
      <w:pPr>
        <w:spacing w:after="0" w:line="240" w:lineRule="auto"/>
      </w:pPr>
      <w:r>
        <w:continuationSeparator/>
      </w:r>
    </w:p>
  </w:endnote>
  <w:endnote w:type="continuationNotice" w:id="1">
    <w:p w14:paraId="115D711B" w14:textId="77777777" w:rsidR="003D1B93" w:rsidRDefault="003D1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289" w:type="dxa"/>
      <w:tblLook w:val="04A0" w:firstRow="1" w:lastRow="0" w:firstColumn="1" w:lastColumn="0" w:noHBand="0" w:noVBand="1"/>
    </w:tblPr>
    <w:tblGrid>
      <w:gridCol w:w="1417"/>
      <w:gridCol w:w="4396"/>
      <w:gridCol w:w="992"/>
      <w:gridCol w:w="1843"/>
      <w:gridCol w:w="725"/>
      <w:gridCol w:w="1684"/>
    </w:tblGrid>
    <w:tr w:rsidR="00C120BD" w14:paraId="610572F7" w14:textId="77777777" w:rsidTr="00196ECE">
      <w:trPr>
        <w:trHeight w:val="340"/>
      </w:trPr>
      <w:tc>
        <w:tcPr>
          <w:tcW w:w="1417" w:type="dxa"/>
          <w:shd w:val="clear" w:color="auto" w:fill="B4E2DB"/>
        </w:tcPr>
        <w:p w14:paraId="1ECD9EA4" w14:textId="77777777" w:rsidR="00C120BD" w:rsidRPr="00833DE3" w:rsidRDefault="00C120BD" w:rsidP="00C120BD">
          <w:pPr>
            <w:pStyle w:val="Footerbodycopy"/>
          </w:pPr>
          <w:r w:rsidRPr="00833DE3">
            <w:t>Classification</w:t>
          </w:r>
        </w:p>
      </w:tc>
      <w:tc>
        <w:tcPr>
          <w:tcW w:w="4396" w:type="dxa"/>
        </w:tcPr>
        <w:p w14:paraId="514BAD0E" w14:textId="255556D5" w:rsidR="00C120BD" w:rsidRPr="00720565" w:rsidRDefault="00787F90" w:rsidP="00C120BD">
          <w:pPr>
            <w:pStyle w:val="Footerbodycopy"/>
          </w:pPr>
          <w:r>
            <w:t>Job Description and Person Specification</w:t>
          </w:r>
          <w:r w:rsidR="00442E78">
            <w:t xml:space="preserve"> </w:t>
          </w:r>
        </w:p>
      </w:tc>
      <w:tc>
        <w:tcPr>
          <w:tcW w:w="992" w:type="dxa"/>
          <w:shd w:val="clear" w:color="auto" w:fill="B4E2DB"/>
        </w:tcPr>
        <w:p w14:paraId="5F3AC3C2" w14:textId="77777777" w:rsidR="00C120BD" w:rsidRPr="00720565" w:rsidRDefault="00C120BD" w:rsidP="00C120BD">
          <w:pPr>
            <w:pStyle w:val="Footerbodycopy"/>
          </w:pPr>
          <w:r>
            <w:t>Version</w:t>
          </w:r>
        </w:p>
      </w:tc>
      <w:tc>
        <w:tcPr>
          <w:tcW w:w="1843" w:type="dxa"/>
        </w:tcPr>
        <w:p w14:paraId="6C74C2DD" w14:textId="7832E77F" w:rsidR="00C120BD" w:rsidRPr="00BA39E7" w:rsidRDefault="00C120BD" w:rsidP="00C120BD">
          <w:pPr>
            <w:pStyle w:val="Footerbodycopy"/>
          </w:pPr>
          <w:r>
            <w:t>1</w:t>
          </w:r>
          <w:r w:rsidR="0094164D">
            <w:t>.</w:t>
          </w:r>
          <w:r w:rsidR="00CE6699">
            <w:t xml:space="preserve"> </w:t>
          </w:r>
          <w:r w:rsidR="00442E78">
            <w:t>March 2025</w:t>
          </w:r>
        </w:p>
      </w:tc>
      <w:tc>
        <w:tcPr>
          <w:tcW w:w="725" w:type="dxa"/>
          <w:shd w:val="clear" w:color="auto" w:fill="B4E2DB"/>
        </w:tcPr>
        <w:p w14:paraId="56648CDF" w14:textId="77777777" w:rsidR="00C120BD" w:rsidRPr="00720565" w:rsidRDefault="00C120BD" w:rsidP="00C120BD">
          <w:pPr>
            <w:pStyle w:val="Footerbodycopy"/>
          </w:pPr>
          <w:r>
            <w:t>Page</w:t>
          </w:r>
        </w:p>
      </w:tc>
      <w:tc>
        <w:tcPr>
          <w:tcW w:w="1684" w:type="dxa"/>
        </w:tcPr>
        <w:p w14:paraId="6A7D3920" w14:textId="77777777" w:rsidR="00C120BD" w:rsidRPr="00720565" w:rsidRDefault="00C120BD" w:rsidP="00C120BD">
          <w:pPr>
            <w:pStyle w:val="Footerbodycopy"/>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p>
      </w:tc>
    </w:tr>
    <w:tr w:rsidR="00C120BD" w14:paraId="248CB18E" w14:textId="77777777" w:rsidTr="00196ECE">
      <w:trPr>
        <w:trHeight w:val="340"/>
      </w:trPr>
      <w:tc>
        <w:tcPr>
          <w:tcW w:w="11057" w:type="dxa"/>
          <w:gridSpan w:val="6"/>
          <w:shd w:val="clear" w:color="auto" w:fill="B4E2DB"/>
        </w:tcPr>
        <w:p w14:paraId="29184E9D" w14:textId="615E1CD4" w:rsidR="00C120BD" w:rsidRPr="00C90C45" w:rsidRDefault="00C120BD" w:rsidP="00C120BD">
          <w:pPr>
            <w:pStyle w:val="Footerbodycopy"/>
            <w:jc w:val="center"/>
            <w:rPr>
              <w:i/>
              <w:iCs/>
            </w:rPr>
          </w:pPr>
          <w:r w:rsidRPr="00C90C45">
            <w:rPr>
              <w:i/>
              <w:iCs/>
            </w:rPr>
            <w:t xml:space="preserve">If printed this document is uncontrolled. Always check </w:t>
          </w:r>
          <w:r>
            <w:rPr>
              <w:i/>
              <w:iCs/>
            </w:rPr>
            <w:t xml:space="preserve">SharePoint </w:t>
          </w:r>
          <w:r w:rsidRPr="00C90C45">
            <w:rPr>
              <w:i/>
              <w:iCs/>
            </w:rPr>
            <w:t>for the latest version.</w:t>
          </w:r>
        </w:p>
      </w:tc>
    </w:tr>
  </w:tbl>
  <w:p w14:paraId="08CE8DEC" w14:textId="2B82BE1B" w:rsidR="00C55232" w:rsidRPr="00C55232" w:rsidRDefault="00C55232" w:rsidP="00C5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42EB" w14:textId="77777777" w:rsidR="003D1B93" w:rsidRDefault="003D1B93" w:rsidP="0044267A">
      <w:pPr>
        <w:spacing w:after="0" w:line="240" w:lineRule="auto"/>
      </w:pPr>
      <w:r>
        <w:separator/>
      </w:r>
    </w:p>
  </w:footnote>
  <w:footnote w:type="continuationSeparator" w:id="0">
    <w:p w14:paraId="1F953D90" w14:textId="77777777" w:rsidR="003D1B93" w:rsidRDefault="003D1B93" w:rsidP="0044267A">
      <w:pPr>
        <w:spacing w:after="0" w:line="240" w:lineRule="auto"/>
      </w:pPr>
      <w:r>
        <w:continuationSeparator/>
      </w:r>
    </w:p>
  </w:footnote>
  <w:footnote w:type="continuationNotice" w:id="1">
    <w:p w14:paraId="0B41DCD7" w14:textId="77777777" w:rsidR="003D1B93" w:rsidRDefault="003D1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4D38" w14:textId="17BAB508" w:rsidR="00787F90" w:rsidRDefault="00787F90">
    <w:pPr>
      <w:pStyle w:val="Header"/>
    </w:pPr>
  </w:p>
  <w:p w14:paraId="47AD98C5" w14:textId="1BA1755F" w:rsidR="00787F90" w:rsidRDefault="00787F90" w:rsidP="00787F90">
    <w:pPr>
      <w:pStyle w:val="Header"/>
      <w:jc w:val="right"/>
    </w:pPr>
    <w:r w:rsidRPr="00C62E13">
      <w:rPr>
        <w:noProof/>
        <w:color w:val="990000"/>
      </w:rPr>
      <w:drawing>
        <wp:inline distT="0" distB="0" distL="0" distR="0" wp14:anchorId="1C2088AB" wp14:editId="2727C2B8">
          <wp:extent cx="1410970" cy="845980"/>
          <wp:effectExtent l="0" t="0" r="6985" b="0"/>
          <wp:docPr id="1949007779" name="Picture 19490077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07779"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845980"/>
                  </a:xfrm>
                  <a:prstGeom prst="rect">
                    <a:avLst/>
                  </a:prstGeom>
                  <a:noFill/>
                  <a:ln>
                    <a:noFill/>
                  </a:ln>
                </pic:spPr>
              </pic:pic>
            </a:graphicData>
          </a:graphic>
        </wp:inline>
      </w:drawing>
    </w:r>
  </w:p>
  <w:p w14:paraId="0650EC13" w14:textId="77777777" w:rsidR="00787F90" w:rsidRDefault="00787F90" w:rsidP="00787F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F8F"/>
    <w:multiLevelType w:val="hybridMultilevel"/>
    <w:tmpl w:val="693C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5302D"/>
    <w:multiLevelType w:val="hybridMultilevel"/>
    <w:tmpl w:val="B38ECB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ED04B4"/>
    <w:multiLevelType w:val="hybridMultilevel"/>
    <w:tmpl w:val="2332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5670C"/>
    <w:multiLevelType w:val="hybridMultilevel"/>
    <w:tmpl w:val="E854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25C6F"/>
    <w:multiLevelType w:val="multilevel"/>
    <w:tmpl w:val="B248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D7D49"/>
    <w:multiLevelType w:val="hybridMultilevel"/>
    <w:tmpl w:val="A5AC5F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03FC2"/>
    <w:multiLevelType w:val="hybridMultilevel"/>
    <w:tmpl w:val="900CB4D6"/>
    <w:lvl w:ilvl="0" w:tplc="08090003">
      <w:start w:val="1"/>
      <w:numFmt w:val="bullet"/>
      <w:lvlText w:val="o"/>
      <w:lvlJc w:val="left"/>
      <w:pPr>
        <w:ind w:left="720" w:hanging="72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226524B"/>
    <w:multiLevelType w:val="hybridMultilevel"/>
    <w:tmpl w:val="E94CC7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096654"/>
    <w:multiLevelType w:val="multilevel"/>
    <w:tmpl w:val="D8F02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F68DC"/>
    <w:multiLevelType w:val="hybridMultilevel"/>
    <w:tmpl w:val="08142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8702E4"/>
    <w:multiLevelType w:val="hybridMultilevel"/>
    <w:tmpl w:val="2A16D818"/>
    <w:lvl w:ilvl="0" w:tplc="CE448860">
      <w:numFmt w:val="bullet"/>
      <w:lvlText w:val="•"/>
      <w:lvlJc w:val="left"/>
      <w:pPr>
        <w:ind w:left="720" w:hanging="720"/>
      </w:pPr>
      <w:rPr>
        <w:rFonts w:ascii="Calibri" w:eastAsia="Open San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A32411"/>
    <w:multiLevelType w:val="multilevel"/>
    <w:tmpl w:val="A4EC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C4634"/>
    <w:multiLevelType w:val="hybridMultilevel"/>
    <w:tmpl w:val="AD44B2A2"/>
    <w:lvl w:ilvl="0" w:tplc="CE448860">
      <w:numFmt w:val="bullet"/>
      <w:lvlText w:val="•"/>
      <w:lvlJc w:val="left"/>
      <w:pPr>
        <w:ind w:left="1080" w:hanging="720"/>
      </w:pPr>
      <w:rPr>
        <w:rFonts w:ascii="Calibri" w:eastAsia="Open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033183"/>
    <w:multiLevelType w:val="hybridMultilevel"/>
    <w:tmpl w:val="7018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F6620"/>
    <w:multiLevelType w:val="hybridMultilevel"/>
    <w:tmpl w:val="5872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054DE2"/>
    <w:multiLevelType w:val="hybridMultilevel"/>
    <w:tmpl w:val="277A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645648">
    <w:abstractNumId w:val="9"/>
  </w:num>
  <w:num w:numId="2" w16cid:durableId="393046767">
    <w:abstractNumId w:val="1"/>
  </w:num>
  <w:num w:numId="3" w16cid:durableId="1048988439">
    <w:abstractNumId w:val="15"/>
  </w:num>
  <w:num w:numId="4" w16cid:durableId="2087222102">
    <w:abstractNumId w:val="12"/>
  </w:num>
  <w:num w:numId="5" w16cid:durableId="355891073">
    <w:abstractNumId w:val="10"/>
  </w:num>
  <w:num w:numId="6" w16cid:durableId="1517428688">
    <w:abstractNumId w:val="5"/>
  </w:num>
  <w:num w:numId="7" w16cid:durableId="1205605942">
    <w:abstractNumId w:val="6"/>
  </w:num>
  <w:num w:numId="8" w16cid:durableId="1566600128">
    <w:abstractNumId w:val="7"/>
  </w:num>
  <w:num w:numId="9" w16cid:durableId="990447465">
    <w:abstractNumId w:val="4"/>
  </w:num>
  <w:num w:numId="10" w16cid:durableId="2124299527">
    <w:abstractNumId w:val="8"/>
  </w:num>
  <w:num w:numId="11" w16cid:durableId="351149156">
    <w:abstractNumId w:val="11"/>
  </w:num>
  <w:num w:numId="12" w16cid:durableId="1294676531">
    <w:abstractNumId w:val="3"/>
  </w:num>
  <w:num w:numId="13" w16cid:durableId="280305152">
    <w:abstractNumId w:val="0"/>
  </w:num>
  <w:num w:numId="14" w16cid:durableId="2125726039">
    <w:abstractNumId w:val="2"/>
  </w:num>
  <w:num w:numId="15" w16cid:durableId="1781411115">
    <w:abstractNumId w:val="14"/>
  </w:num>
  <w:num w:numId="16" w16cid:durableId="1687514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89"/>
    <w:rsid w:val="00001494"/>
    <w:rsid w:val="0000474A"/>
    <w:rsid w:val="00005C44"/>
    <w:rsid w:val="00010417"/>
    <w:rsid w:val="00011B22"/>
    <w:rsid w:val="00012115"/>
    <w:rsid w:val="00012BC1"/>
    <w:rsid w:val="000130AA"/>
    <w:rsid w:val="00017CDC"/>
    <w:rsid w:val="00025A2D"/>
    <w:rsid w:val="00031326"/>
    <w:rsid w:val="00032724"/>
    <w:rsid w:val="00037BF2"/>
    <w:rsid w:val="000409DC"/>
    <w:rsid w:val="00044AB1"/>
    <w:rsid w:val="00052CF0"/>
    <w:rsid w:val="00053BBF"/>
    <w:rsid w:val="0005626C"/>
    <w:rsid w:val="000733C2"/>
    <w:rsid w:val="0007420D"/>
    <w:rsid w:val="0007573F"/>
    <w:rsid w:val="000762D0"/>
    <w:rsid w:val="00082FE8"/>
    <w:rsid w:val="000837C2"/>
    <w:rsid w:val="00086AB6"/>
    <w:rsid w:val="00087B02"/>
    <w:rsid w:val="00092ED4"/>
    <w:rsid w:val="000A6433"/>
    <w:rsid w:val="000B0568"/>
    <w:rsid w:val="000B437D"/>
    <w:rsid w:val="000C2D73"/>
    <w:rsid w:val="000C3662"/>
    <w:rsid w:val="000D2E0E"/>
    <w:rsid w:val="000E76C6"/>
    <w:rsid w:val="000F0895"/>
    <w:rsid w:val="000F74E3"/>
    <w:rsid w:val="001008AC"/>
    <w:rsid w:val="00103533"/>
    <w:rsid w:val="001070F5"/>
    <w:rsid w:val="00114624"/>
    <w:rsid w:val="001155FB"/>
    <w:rsid w:val="00115FA9"/>
    <w:rsid w:val="00116844"/>
    <w:rsid w:val="001252A3"/>
    <w:rsid w:val="00130088"/>
    <w:rsid w:val="00130B3D"/>
    <w:rsid w:val="00130E6C"/>
    <w:rsid w:val="00132BE4"/>
    <w:rsid w:val="0013344F"/>
    <w:rsid w:val="001351A5"/>
    <w:rsid w:val="00136ED1"/>
    <w:rsid w:val="00142A0E"/>
    <w:rsid w:val="001438FA"/>
    <w:rsid w:val="00143A8B"/>
    <w:rsid w:val="001445B4"/>
    <w:rsid w:val="00144A1C"/>
    <w:rsid w:val="00145725"/>
    <w:rsid w:val="00147790"/>
    <w:rsid w:val="0015049F"/>
    <w:rsid w:val="00155B0F"/>
    <w:rsid w:val="00161791"/>
    <w:rsid w:val="001657F3"/>
    <w:rsid w:val="00165BB7"/>
    <w:rsid w:val="001738A7"/>
    <w:rsid w:val="00174088"/>
    <w:rsid w:val="001759FA"/>
    <w:rsid w:val="00177D6E"/>
    <w:rsid w:val="00182FF4"/>
    <w:rsid w:val="00184767"/>
    <w:rsid w:val="001850D4"/>
    <w:rsid w:val="001863D0"/>
    <w:rsid w:val="00190D3A"/>
    <w:rsid w:val="001916AC"/>
    <w:rsid w:val="00195971"/>
    <w:rsid w:val="00195EE0"/>
    <w:rsid w:val="001A0924"/>
    <w:rsid w:val="001A46CC"/>
    <w:rsid w:val="001B00FA"/>
    <w:rsid w:val="001B289A"/>
    <w:rsid w:val="001B7601"/>
    <w:rsid w:val="001B7A3E"/>
    <w:rsid w:val="001B7FA0"/>
    <w:rsid w:val="001C13F5"/>
    <w:rsid w:val="001C17DD"/>
    <w:rsid w:val="001C5C0F"/>
    <w:rsid w:val="001D1E2D"/>
    <w:rsid w:val="001D3379"/>
    <w:rsid w:val="001D4B13"/>
    <w:rsid w:val="001D5BF4"/>
    <w:rsid w:val="001D6D13"/>
    <w:rsid w:val="001E1D19"/>
    <w:rsid w:val="001E330F"/>
    <w:rsid w:val="001F5B01"/>
    <w:rsid w:val="001F6B8C"/>
    <w:rsid w:val="001F739F"/>
    <w:rsid w:val="001F7920"/>
    <w:rsid w:val="0020169C"/>
    <w:rsid w:val="002016E3"/>
    <w:rsid w:val="002021C6"/>
    <w:rsid w:val="0020309C"/>
    <w:rsid w:val="002074CE"/>
    <w:rsid w:val="002116F0"/>
    <w:rsid w:val="0021268D"/>
    <w:rsid w:val="00216E86"/>
    <w:rsid w:val="00217219"/>
    <w:rsid w:val="00220858"/>
    <w:rsid w:val="00221887"/>
    <w:rsid w:val="00221EF8"/>
    <w:rsid w:val="002243FE"/>
    <w:rsid w:val="00224F00"/>
    <w:rsid w:val="00226833"/>
    <w:rsid w:val="00226C93"/>
    <w:rsid w:val="00227202"/>
    <w:rsid w:val="0022753F"/>
    <w:rsid w:val="00232374"/>
    <w:rsid w:val="00233FBE"/>
    <w:rsid w:val="002343B5"/>
    <w:rsid w:val="002371BD"/>
    <w:rsid w:val="0024162B"/>
    <w:rsid w:val="00241880"/>
    <w:rsid w:val="0024231D"/>
    <w:rsid w:val="0024486F"/>
    <w:rsid w:val="0024579B"/>
    <w:rsid w:val="00256CDF"/>
    <w:rsid w:val="002575E5"/>
    <w:rsid w:val="00257E83"/>
    <w:rsid w:val="00261523"/>
    <w:rsid w:val="0026231C"/>
    <w:rsid w:val="00262D26"/>
    <w:rsid w:val="00267273"/>
    <w:rsid w:val="002718B2"/>
    <w:rsid w:val="00280929"/>
    <w:rsid w:val="00295C6D"/>
    <w:rsid w:val="002A1F57"/>
    <w:rsid w:val="002A40F5"/>
    <w:rsid w:val="002A750B"/>
    <w:rsid w:val="002A765C"/>
    <w:rsid w:val="002B10DA"/>
    <w:rsid w:val="002B28E9"/>
    <w:rsid w:val="002B2ADB"/>
    <w:rsid w:val="002C3B8E"/>
    <w:rsid w:val="002C522F"/>
    <w:rsid w:val="002C61AC"/>
    <w:rsid w:val="002C6BA8"/>
    <w:rsid w:val="002C754A"/>
    <w:rsid w:val="002E1EE5"/>
    <w:rsid w:val="002E3053"/>
    <w:rsid w:val="002E6C24"/>
    <w:rsid w:val="002E7D09"/>
    <w:rsid w:val="002F235F"/>
    <w:rsid w:val="002F5380"/>
    <w:rsid w:val="0030240A"/>
    <w:rsid w:val="003025E9"/>
    <w:rsid w:val="00310492"/>
    <w:rsid w:val="00312DA0"/>
    <w:rsid w:val="003134DD"/>
    <w:rsid w:val="00315253"/>
    <w:rsid w:val="00316486"/>
    <w:rsid w:val="00324987"/>
    <w:rsid w:val="00327248"/>
    <w:rsid w:val="00331164"/>
    <w:rsid w:val="00332933"/>
    <w:rsid w:val="00333854"/>
    <w:rsid w:val="00335141"/>
    <w:rsid w:val="0034047B"/>
    <w:rsid w:val="00340968"/>
    <w:rsid w:val="00342CC8"/>
    <w:rsid w:val="00343250"/>
    <w:rsid w:val="00347422"/>
    <w:rsid w:val="003476EE"/>
    <w:rsid w:val="003541C1"/>
    <w:rsid w:val="00354DD8"/>
    <w:rsid w:val="00356092"/>
    <w:rsid w:val="0035690B"/>
    <w:rsid w:val="003576E3"/>
    <w:rsid w:val="00360F0B"/>
    <w:rsid w:val="00361E89"/>
    <w:rsid w:val="00362965"/>
    <w:rsid w:val="00364DBD"/>
    <w:rsid w:val="00371BA6"/>
    <w:rsid w:val="0037207A"/>
    <w:rsid w:val="00372083"/>
    <w:rsid w:val="0038251E"/>
    <w:rsid w:val="003827A6"/>
    <w:rsid w:val="003847EC"/>
    <w:rsid w:val="003868B2"/>
    <w:rsid w:val="00390834"/>
    <w:rsid w:val="00394250"/>
    <w:rsid w:val="003951D8"/>
    <w:rsid w:val="003952A7"/>
    <w:rsid w:val="003A1187"/>
    <w:rsid w:val="003A1C7F"/>
    <w:rsid w:val="003A3318"/>
    <w:rsid w:val="003A4002"/>
    <w:rsid w:val="003A6D93"/>
    <w:rsid w:val="003A7456"/>
    <w:rsid w:val="003C0572"/>
    <w:rsid w:val="003C563B"/>
    <w:rsid w:val="003D07AA"/>
    <w:rsid w:val="003D1B93"/>
    <w:rsid w:val="003D4231"/>
    <w:rsid w:val="003E045B"/>
    <w:rsid w:val="003E0EA9"/>
    <w:rsid w:val="003E1C4D"/>
    <w:rsid w:val="003E2A9A"/>
    <w:rsid w:val="003E2B50"/>
    <w:rsid w:val="003E3BC8"/>
    <w:rsid w:val="003E6F34"/>
    <w:rsid w:val="003E7224"/>
    <w:rsid w:val="003F4B88"/>
    <w:rsid w:val="003F5BDE"/>
    <w:rsid w:val="003F60DF"/>
    <w:rsid w:val="003F797B"/>
    <w:rsid w:val="00410D2C"/>
    <w:rsid w:val="0041180D"/>
    <w:rsid w:val="00413A29"/>
    <w:rsid w:val="00415B12"/>
    <w:rsid w:val="004170C1"/>
    <w:rsid w:val="00417FC6"/>
    <w:rsid w:val="0042031D"/>
    <w:rsid w:val="0042143B"/>
    <w:rsid w:val="004320AD"/>
    <w:rsid w:val="00436988"/>
    <w:rsid w:val="00440136"/>
    <w:rsid w:val="0044267A"/>
    <w:rsid w:val="00442E78"/>
    <w:rsid w:val="00444110"/>
    <w:rsid w:val="004456C1"/>
    <w:rsid w:val="00457108"/>
    <w:rsid w:val="0045736A"/>
    <w:rsid w:val="00460153"/>
    <w:rsid w:val="00460D7F"/>
    <w:rsid w:val="004652AA"/>
    <w:rsid w:val="00466B47"/>
    <w:rsid w:val="00467132"/>
    <w:rsid w:val="004728A1"/>
    <w:rsid w:val="0047372F"/>
    <w:rsid w:val="004774AE"/>
    <w:rsid w:val="00480316"/>
    <w:rsid w:val="00484FED"/>
    <w:rsid w:val="00487A91"/>
    <w:rsid w:val="004A0B95"/>
    <w:rsid w:val="004A4891"/>
    <w:rsid w:val="004A5104"/>
    <w:rsid w:val="004A6374"/>
    <w:rsid w:val="004A73AC"/>
    <w:rsid w:val="004B000E"/>
    <w:rsid w:val="004B0FD6"/>
    <w:rsid w:val="004B4455"/>
    <w:rsid w:val="004B4CE0"/>
    <w:rsid w:val="004B77B8"/>
    <w:rsid w:val="004C01C1"/>
    <w:rsid w:val="004C0286"/>
    <w:rsid w:val="004C2B87"/>
    <w:rsid w:val="004D0A94"/>
    <w:rsid w:val="004D145B"/>
    <w:rsid w:val="004D1C47"/>
    <w:rsid w:val="004D2AA4"/>
    <w:rsid w:val="004D3F54"/>
    <w:rsid w:val="004D5DE4"/>
    <w:rsid w:val="004E1E54"/>
    <w:rsid w:val="004E210E"/>
    <w:rsid w:val="004E29D7"/>
    <w:rsid w:val="004E5D3E"/>
    <w:rsid w:val="004F0AB3"/>
    <w:rsid w:val="004F1DF3"/>
    <w:rsid w:val="004F4492"/>
    <w:rsid w:val="0050428F"/>
    <w:rsid w:val="00504834"/>
    <w:rsid w:val="00504D54"/>
    <w:rsid w:val="005126AF"/>
    <w:rsid w:val="005221E2"/>
    <w:rsid w:val="0052315F"/>
    <w:rsid w:val="00532E87"/>
    <w:rsid w:val="00532F33"/>
    <w:rsid w:val="005342D9"/>
    <w:rsid w:val="00534F6C"/>
    <w:rsid w:val="005353B5"/>
    <w:rsid w:val="00535D42"/>
    <w:rsid w:val="0053770B"/>
    <w:rsid w:val="00541F61"/>
    <w:rsid w:val="00543F78"/>
    <w:rsid w:val="00546E58"/>
    <w:rsid w:val="00550C79"/>
    <w:rsid w:val="00570F3B"/>
    <w:rsid w:val="00575162"/>
    <w:rsid w:val="00576D1C"/>
    <w:rsid w:val="005774CC"/>
    <w:rsid w:val="00584511"/>
    <w:rsid w:val="00586B13"/>
    <w:rsid w:val="00587CDB"/>
    <w:rsid w:val="00590233"/>
    <w:rsid w:val="00594BEB"/>
    <w:rsid w:val="00596A87"/>
    <w:rsid w:val="00597508"/>
    <w:rsid w:val="0059790E"/>
    <w:rsid w:val="005A25A9"/>
    <w:rsid w:val="005A5B79"/>
    <w:rsid w:val="005A65C8"/>
    <w:rsid w:val="005A7B3B"/>
    <w:rsid w:val="005B3B33"/>
    <w:rsid w:val="005B3D29"/>
    <w:rsid w:val="005C0FDA"/>
    <w:rsid w:val="005C1583"/>
    <w:rsid w:val="005C1AFF"/>
    <w:rsid w:val="005C5024"/>
    <w:rsid w:val="005C69A3"/>
    <w:rsid w:val="005D1487"/>
    <w:rsid w:val="005D24A2"/>
    <w:rsid w:val="005D4BBD"/>
    <w:rsid w:val="005D75D9"/>
    <w:rsid w:val="005E3CB6"/>
    <w:rsid w:val="005E50F9"/>
    <w:rsid w:val="005F16F3"/>
    <w:rsid w:val="005F1AD2"/>
    <w:rsid w:val="005F51C9"/>
    <w:rsid w:val="0060034D"/>
    <w:rsid w:val="006005EE"/>
    <w:rsid w:val="00600E77"/>
    <w:rsid w:val="006015C2"/>
    <w:rsid w:val="00610AD5"/>
    <w:rsid w:val="006122E2"/>
    <w:rsid w:val="00612ADD"/>
    <w:rsid w:val="00613F67"/>
    <w:rsid w:val="00614439"/>
    <w:rsid w:val="00616F61"/>
    <w:rsid w:val="006203C8"/>
    <w:rsid w:val="0062052D"/>
    <w:rsid w:val="0062067F"/>
    <w:rsid w:val="006216E4"/>
    <w:rsid w:val="006221EE"/>
    <w:rsid w:val="006232E2"/>
    <w:rsid w:val="006234B3"/>
    <w:rsid w:val="00633FD4"/>
    <w:rsid w:val="00634892"/>
    <w:rsid w:val="006351B7"/>
    <w:rsid w:val="00636D7B"/>
    <w:rsid w:val="006400E3"/>
    <w:rsid w:val="006529FC"/>
    <w:rsid w:val="00653D58"/>
    <w:rsid w:val="006557C3"/>
    <w:rsid w:val="00660299"/>
    <w:rsid w:val="0066178C"/>
    <w:rsid w:val="006667D0"/>
    <w:rsid w:val="00674F7F"/>
    <w:rsid w:val="00675C88"/>
    <w:rsid w:val="00682240"/>
    <w:rsid w:val="00682FB0"/>
    <w:rsid w:val="0068463F"/>
    <w:rsid w:val="00690A18"/>
    <w:rsid w:val="00692528"/>
    <w:rsid w:val="0069609B"/>
    <w:rsid w:val="00696853"/>
    <w:rsid w:val="006A0136"/>
    <w:rsid w:val="006A1E76"/>
    <w:rsid w:val="006A3507"/>
    <w:rsid w:val="006A3ED7"/>
    <w:rsid w:val="006A4221"/>
    <w:rsid w:val="006A5A56"/>
    <w:rsid w:val="006A6378"/>
    <w:rsid w:val="006B3976"/>
    <w:rsid w:val="006B3F25"/>
    <w:rsid w:val="006B66B6"/>
    <w:rsid w:val="006B6E54"/>
    <w:rsid w:val="006C6972"/>
    <w:rsid w:val="006C7E36"/>
    <w:rsid w:val="006D0955"/>
    <w:rsid w:val="006D1D54"/>
    <w:rsid w:val="006D4ECC"/>
    <w:rsid w:val="006D5807"/>
    <w:rsid w:val="006E1E3E"/>
    <w:rsid w:val="006F1D55"/>
    <w:rsid w:val="006F27E4"/>
    <w:rsid w:val="006F33D3"/>
    <w:rsid w:val="006F5095"/>
    <w:rsid w:val="006F5353"/>
    <w:rsid w:val="006F5C96"/>
    <w:rsid w:val="006F615B"/>
    <w:rsid w:val="00704B9B"/>
    <w:rsid w:val="00704F7F"/>
    <w:rsid w:val="00712129"/>
    <w:rsid w:val="00712AFF"/>
    <w:rsid w:val="007146BC"/>
    <w:rsid w:val="0072063D"/>
    <w:rsid w:val="0072398E"/>
    <w:rsid w:val="00731D0B"/>
    <w:rsid w:val="007320B9"/>
    <w:rsid w:val="00735754"/>
    <w:rsid w:val="0074303A"/>
    <w:rsid w:val="007432B7"/>
    <w:rsid w:val="00750356"/>
    <w:rsid w:val="00751EB3"/>
    <w:rsid w:val="00753D06"/>
    <w:rsid w:val="007547C3"/>
    <w:rsid w:val="0075649F"/>
    <w:rsid w:val="00761205"/>
    <w:rsid w:val="00765477"/>
    <w:rsid w:val="00766157"/>
    <w:rsid w:val="0077431F"/>
    <w:rsid w:val="007801D6"/>
    <w:rsid w:val="00786A66"/>
    <w:rsid w:val="00786C49"/>
    <w:rsid w:val="00786C8B"/>
    <w:rsid w:val="00787F90"/>
    <w:rsid w:val="007929D7"/>
    <w:rsid w:val="00794B79"/>
    <w:rsid w:val="00795924"/>
    <w:rsid w:val="007969DC"/>
    <w:rsid w:val="007A0820"/>
    <w:rsid w:val="007A320A"/>
    <w:rsid w:val="007A3EC8"/>
    <w:rsid w:val="007A5786"/>
    <w:rsid w:val="007A5D84"/>
    <w:rsid w:val="007B662A"/>
    <w:rsid w:val="007C218A"/>
    <w:rsid w:val="007C2503"/>
    <w:rsid w:val="007C315C"/>
    <w:rsid w:val="007C3F86"/>
    <w:rsid w:val="007C4560"/>
    <w:rsid w:val="007C4B14"/>
    <w:rsid w:val="007C4BEE"/>
    <w:rsid w:val="007D0A7B"/>
    <w:rsid w:val="007D0DB3"/>
    <w:rsid w:val="007D329E"/>
    <w:rsid w:val="007D360F"/>
    <w:rsid w:val="007D3D3D"/>
    <w:rsid w:val="007D3E00"/>
    <w:rsid w:val="007D419E"/>
    <w:rsid w:val="007E0D41"/>
    <w:rsid w:val="007E33DA"/>
    <w:rsid w:val="007E4192"/>
    <w:rsid w:val="007F36AB"/>
    <w:rsid w:val="007F6498"/>
    <w:rsid w:val="007F7643"/>
    <w:rsid w:val="00800B99"/>
    <w:rsid w:val="00801764"/>
    <w:rsid w:val="00817F5D"/>
    <w:rsid w:val="008223C2"/>
    <w:rsid w:val="00822E0D"/>
    <w:rsid w:val="00824688"/>
    <w:rsid w:val="008318E4"/>
    <w:rsid w:val="0083213D"/>
    <w:rsid w:val="008360C3"/>
    <w:rsid w:val="0083764F"/>
    <w:rsid w:val="00844DCA"/>
    <w:rsid w:val="00846349"/>
    <w:rsid w:val="00854791"/>
    <w:rsid w:val="00856485"/>
    <w:rsid w:val="00856E4B"/>
    <w:rsid w:val="00864151"/>
    <w:rsid w:val="008658DF"/>
    <w:rsid w:val="00865E6A"/>
    <w:rsid w:val="00873CB2"/>
    <w:rsid w:val="00880FA1"/>
    <w:rsid w:val="00883617"/>
    <w:rsid w:val="00886DF2"/>
    <w:rsid w:val="00887BC1"/>
    <w:rsid w:val="008937F6"/>
    <w:rsid w:val="00894075"/>
    <w:rsid w:val="008968CA"/>
    <w:rsid w:val="00897F17"/>
    <w:rsid w:val="008A0287"/>
    <w:rsid w:val="008A1601"/>
    <w:rsid w:val="008A1954"/>
    <w:rsid w:val="008A40FC"/>
    <w:rsid w:val="008A489F"/>
    <w:rsid w:val="008A5A52"/>
    <w:rsid w:val="008B749C"/>
    <w:rsid w:val="008C0579"/>
    <w:rsid w:val="008C5A7B"/>
    <w:rsid w:val="008C6B62"/>
    <w:rsid w:val="008D0F3F"/>
    <w:rsid w:val="008D0F5F"/>
    <w:rsid w:val="008E5C3E"/>
    <w:rsid w:val="008E5E15"/>
    <w:rsid w:val="008E751D"/>
    <w:rsid w:val="008F2018"/>
    <w:rsid w:val="008F4346"/>
    <w:rsid w:val="008F4654"/>
    <w:rsid w:val="008F72D1"/>
    <w:rsid w:val="009006E2"/>
    <w:rsid w:val="0090159B"/>
    <w:rsid w:val="00901A55"/>
    <w:rsid w:val="00902920"/>
    <w:rsid w:val="00902B8D"/>
    <w:rsid w:val="00912281"/>
    <w:rsid w:val="00913610"/>
    <w:rsid w:val="00916DA9"/>
    <w:rsid w:val="00924785"/>
    <w:rsid w:val="00925F8C"/>
    <w:rsid w:val="009339E0"/>
    <w:rsid w:val="0094164D"/>
    <w:rsid w:val="00941895"/>
    <w:rsid w:val="009511C8"/>
    <w:rsid w:val="00953A31"/>
    <w:rsid w:val="00957E42"/>
    <w:rsid w:val="00961CBB"/>
    <w:rsid w:val="0096265B"/>
    <w:rsid w:val="00964025"/>
    <w:rsid w:val="00976D98"/>
    <w:rsid w:val="00984709"/>
    <w:rsid w:val="00985CD5"/>
    <w:rsid w:val="00987E19"/>
    <w:rsid w:val="0099340D"/>
    <w:rsid w:val="00995A68"/>
    <w:rsid w:val="009973F8"/>
    <w:rsid w:val="00997825"/>
    <w:rsid w:val="009A3CD2"/>
    <w:rsid w:val="009A58A0"/>
    <w:rsid w:val="009A5BE6"/>
    <w:rsid w:val="009B0369"/>
    <w:rsid w:val="009B3081"/>
    <w:rsid w:val="009B5380"/>
    <w:rsid w:val="009C002C"/>
    <w:rsid w:val="009C664E"/>
    <w:rsid w:val="009D6955"/>
    <w:rsid w:val="009D6F33"/>
    <w:rsid w:val="009D7D85"/>
    <w:rsid w:val="009E2924"/>
    <w:rsid w:val="009E3250"/>
    <w:rsid w:val="009E6FD7"/>
    <w:rsid w:val="009F0F42"/>
    <w:rsid w:val="009F168A"/>
    <w:rsid w:val="009F2295"/>
    <w:rsid w:val="009F5187"/>
    <w:rsid w:val="00A002D3"/>
    <w:rsid w:val="00A0173A"/>
    <w:rsid w:val="00A01CA1"/>
    <w:rsid w:val="00A064FF"/>
    <w:rsid w:val="00A0776E"/>
    <w:rsid w:val="00A107A6"/>
    <w:rsid w:val="00A145D8"/>
    <w:rsid w:val="00A148D4"/>
    <w:rsid w:val="00A16114"/>
    <w:rsid w:val="00A32E1F"/>
    <w:rsid w:val="00A33999"/>
    <w:rsid w:val="00A37CCF"/>
    <w:rsid w:val="00A37D08"/>
    <w:rsid w:val="00A40474"/>
    <w:rsid w:val="00A40606"/>
    <w:rsid w:val="00A40FFD"/>
    <w:rsid w:val="00A412F1"/>
    <w:rsid w:val="00A41B51"/>
    <w:rsid w:val="00A45A2E"/>
    <w:rsid w:val="00A523D0"/>
    <w:rsid w:val="00A53065"/>
    <w:rsid w:val="00A549AD"/>
    <w:rsid w:val="00A549F9"/>
    <w:rsid w:val="00A61E0C"/>
    <w:rsid w:val="00A63D52"/>
    <w:rsid w:val="00A71951"/>
    <w:rsid w:val="00A73CD0"/>
    <w:rsid w:val="00A75834"/>
    <w:rsid w:val="00A75FDD"/>
    <w:rsid w:val="00A81EB7"/>
    <w:rsid w:val="00A867D0"/>
    <w:rsid w:val="00A95BC6"/>
    <w:rsid w:val="00AA15B5"/>
    <w:rsid w:val="00AA296B"/>
    <w:rsid w:val="00AA4234"/>
    <w:rsid w:val="00AB0EBD"/>
    <w:rsid w:val="00AB3268"/>
    <w:rsid w:val="00AB393C"/>
    <w:rsid w:val="00AC0880"/>
    <w:rsid w:val="00AC11C1"/>
    <w:rsid w:val="00AC261E"/>
    <w:rsid w:val="00AD02AB"/>
    <w:rsid w:val="00AD1569"/>
    <w:rsid w:val="00AD1C00"/>
    <w:rsid w:val="00AD54CF"/>
    <w:rsid w:val="00AD5BC0"/>
    <w:rsid w:val="00AD67A4"/>
    <w:rsid w:val="00AE109F"/>
    <w:rsid w:val="00AE6C98"/>
    <w:rsid w:val="00AE6CE8"/>
    <w:rsid w:val="00AF4572"/>
    <w:rsid w:val="00AF5158"/>
    <w:rsid w:val="00AF70A6"/>
    <w:rsid w:val="00B01DBA"/>
    <w:rsid w:val="00B1346E"/>
    <w:rsid w:val="00B1506D"/>
    <w:rsid w:val="00B16748"/>
    <w:rsid w:val="00B167DB"/>
    <w:rsid w:val="00B16993"/>
    <w:rsid w:val="00B172AE"/>
    <w:rsid w:val="00B20E18"/>
    <w:rsid w:val="00B222BB"/>
    <w:rsid w:val="00B2299E"/>
    <w:rsid w:val="00B2704D"/>
    <w:rsid w:val="00B2739A"/>
    <w:rsid w:val="00B274ED"/>
    <w:rsid w:val="00B27C76"/>
    <w:rsid w:val="00B35898"/>
    <w:rsid w:val="00B36A52"/>
    <w:rsid w:val="00B46079"/>
    <w:rsid w:val="00B53DD4"/>
    <w:rsid w:val="00B53FB3"/>
    <w:rsid w:val="00B5410C"/>
    <w:rsid w:val="00B54D4F"/>
    <w:rsid w:val="00B54FBD"/>
    <w:rsid w:val="00B550B7"/>
    <w:rsid w:val="00B55F67"/>
    <w:rsid w:val="00B5650C"/>
    <w:rsid w:val="00B613B6"/>
    <w:rsid w:val="00B67C16"/>
    <w:rsid w:val="00B721D0"/>
    <w:rsid w:val="00B755C2"/>
    <w:rsid w:val="00B815F6"/>
    <w:rsid w:val="00B838F8"/>
    <w:rsid w:val="00B83D2C"/>
    <w:rsid w:val="00B83E2D"/>
    <w:rsid w:val="00B87134"/>
    <w:rsid w:val="00B87DE1"/>
    <w:rsid w:val="00B92540"/>
    <w:rsid w:val="00B94DC2"/>
    <w:rsid w:val="00B96189"/>
    <w:rsid w:val="00BA5292"/>
    <w:rsid w:val="00BA53A3"/>
    <w:rsid w:val="00BA7606"/>
    <w:rsid w:val="00BB3081"/>
    <w:rsid w:val="00BC29CE"/>
    <w:rsid w:val="00BC2B0A"/>
    <w:rsid w:val="00BC35AC"/>
    <w:rsid w:val="00BC4495"/>
    <w:rsid w:val="00BC460F"/>
    <w:rsid w:val="00BC7F25"/>
    <w:rsid w:val="00BD099B"/>
    <w:rsid w:val="00BD2917"/>
    <w:rsid w:val="00BD5EFB"/>
    <w:rsid w:val="00BD6B98"/>
    <w:rsid w:val="00BE3BF3"/>
    <w:rsid w:val="00BE54CA"/>
    <w:rsid w:val="00BE6B7D"/>
    <w:rsid w:val="00BF0FB4"/>
    <w:rsid w:val="00BF22A8"/>
    <w:rsid w:val="00BF3921"/>
    <w:rsid w:val="00BF67EF"/>
    <w:rsid w:val="00C0022E"/>
    <w:rsid w:val="00C014F2"/>
    <w:rsid w:val="00C018B4"/>
    <w:rsid w:val="00C02FDC"/>
    <w:rsid w:val="00C03FAC"/>
    <w:rsid w:val="00C04488"/>
    <w:rsid w:val="00C063C6"/>
    <w:rsid w:val="00C06EEF"/>
    <w:rsid w:val="00C07FBA"/>
    <w:rsid w:val="00C10B80"/>
    <w:rsid w:val="00C10F27"/>
    <w:rsid w:val="00C120BD"/>
    <w:rsid w:val="00C12D59"/>
    <w:rsid w:val="00C14715"/>
    <w:rsid w:val="00C160FC"/>
    <w:rsid w:val="00C179AC"/>
    <w:rsid w:val="00C20C7C"/>
    <w:rsid w:val="00C221C1"/>
    <w:rsid w:val="00C257C2"/>
    <w:rsid w:val="00C31AD0"/>
    <w:rsid w:val="00C32FC5"/>
    <w:rsid w:val="00C359CF"/>
    <w:rsid w:val="00C36147"/>
    <w:rsid w:val="00C371FF"/>
    <w:rsid w:val="00C400B2"/>
    <w:rsid w:val="00C4109C"/>
    <w:rsid w:val="00C4263C"/>
    <w:rsid w:val="00C42876"/>
    <w:rsid w:val="00C44259"/>
    <w:rsid w:val="00C45901"/>
    <w:rsid w:val="00C50D9B"/>
    <w:rsid w:val="00C51562"/>
    <w:rsid w:val="00C5171C"/>
    <w:rsid w:val="00C52C55"/>
    <w:rsid w:val="00C55232"/>
    <w:rsid w:val="00C60E96"/>
    <w:rsid w:val="00C62531"/>
    <w:rsid w:val="00C62E13"/>
    <w:rsid w:val="00C63405"/>
    <w:rsid w:val="00C67FFD"/>
    <w:rsid w:val="00C7197D"/>
    <w:rsid w:val="00C742A8"/>
    <w:rsid w:val="00C759B8"/>
    <w:rsid w:val="00C75F94"/>
    <w:rsid w:val="00C80B30"/>
    <w:rsid w:val="00C81374"/>
    <w:rsid w:val="00C81872"/>
    <w:rsid w:val="00C81A0A"/>
    <w:rsid w:val="00C82ADA"/>
    <w:rsid w:val="00C87B12"/>
    <w:rsid w:val="00C94492"/>
    <w:rsid w:val="00C94ABD"/>
    <w:rsid w:val="00CA27AE"/>
    <w:rsid w:val="00CA6CCC"/>
    <w:rsid w:val="00CA7869"/>
    <w:rsid w:val="00CA78FB"/>
    <w:rsid w:val="00CB01A4"/>
    <w:rsid w:val="00CB01C4"/>
    <w:rsid w:val="00CB24F6"/>
    <w:rsid w:val="00CB273A"/>
    <w:rsid w:val="00CB7535"/>
    <w:rsid w:val="00CB7C10"/>
    <w:rsid w:val="00CC4D40"/>
    <w:rsid w:val="00CD0503"/>
    <w:rsid w:val="00CD41C4"/>
    <w:rsid w:val="00CD4AF2"/>
    <w:rsid w:val="00CD6D26"/>
    <w:rsid w:val="00CD7ACB"/>
    <w:rsid w:val="00CE2114"/>
    <w:rsid w:val="00CE6699"/>
    <w:rsid w:val="00CE6763"/>
    <w:rsid w:val="00CF2ACC"/>
    <w:rsid w:val="00CF7AF3"/>
    <w:rsid w:val="00D061CA"/>
    <w:rsid w:val="00D1608F"/>
    <w:rsid w:val="00D16292"/>
    <w:rsid w:val="00D22502"/>
    <w:rsid w:val="00D23142"/>
    <w:rsid w:val="00D23FDA"/>
    <w:rsid w:val="00D250E7"/>
    <w:rsid w:val="00D273A1"/>
    <w:rsid w:val="00D309C8"/>
    <w:rsid w:val="00D32084"/>
    <w:rsid w:val="00D34743"/>
    <w:rsid w:val="00D3742A"/>
    <w:rsid w:val="00D444DD"/>
    <w:rsid w:val="00D45C41"/>
    <w:rsid w:val="00D477AF"/>
    <w:rsid w:val="00D506B7"/>
    <w:rsid w:val="00D51B58"/>
    <w:rsid w:val="00D558B5"/>
    <w:rsid w:val="00D5626D"/>
    <w:rsid w:val="00D56BA3"/>
    <w:rsid w:val="00D57B1B"/>
    <w:rsid w:val="00D57D28"/>
    <w:rsid w:val="00D74304"/>
    <w:rsid w:val="00D77FA4"/>
    <w:rsid w:val="00D82965"/>
    <w:rsid w:val="00D84724"/>
    <w:rsid w:val="00D90899"/>
    <w:rsid w:val="00D96DCB"/>
    <w:rsid w:val="00DA6BBE"/>
    <w:rsid w:val="00DB0F0F"/>
    <w:rsid w:val="00DB2D5E"/>
    <w:rsid w:val="00DB3ED7"/>
    <w:rsid w:val="00DB51D5"/>
    <w:rsid w:val="00DC085F"/>
    <w:rsid w:val="00DC34A5"/>
    <w:rsid w:val="00DC56F8"/>
    <w:rsid w:val="00DC79B5"/>
    <w:rsid w:val="00DE0AE3"/>
    <w:rsid w:val="00DE6AEF"/>
    <w:rsid w:val="00DE70A9"/>
    <w:rsid w:val="00DE7321"/>
    <w:rsid w:val="00DF2E22"/>
    <w:rsid w:val="00DF5256"/>
    <w:rsid w:val="00DF5B12"/>
    <w:rsid w:val="00DF685D"/>
    <w:rsid w:val="00E013A5"/>
    <w:rsid w:val="00E032C5"/>
    <w:rsid w:val="00E04C6E"/>
    <w:rsid w:val="00E0622E"/>
    <w:rsid w:val="00E06D0F"/>
    <w:rsid w:val="00E07CA7"/>
    <w:rsid w:val="00E118B6"/>
    <w:rsid w:val="00E1202C"/>
    <w:rsid w:val="00E15A3D"/>
    <w:rsid w:val="00E17190"/>
    <w:rsid w:val="00E22D7D"/>
    <w:rsid w:val="00E24AFE"/>
    <w:rsid w:val="00E269B2"/>
    <w:rsid w:val="00E26EAE"/>
    <w:rsid w:val="00E32729"/>
    <w:rsid w:val="00E32A95"/>
    <w:rsid w:val="00E32CB0"/>
    <w:rsid w:val="00E46CEF"/>
    <w:rsid w:val="00E500FB"/>
    <w:rsid w:val="00E51EAA"/>
    <w:rsid w:val="00E54B11"/>
    <w:rsid w:val="00E574FE"/>
    <w:rsid w:val="00E57AE4"/>
    <w:rsid w:val="00E6144F"/>
    <w:rsid w:val="00E8252E"/>
    <w:rsid w:val="00E84A93"/>
    <w:rsid w:val="00E90720"/>
    <w:rsid w:val="00E91F69"/>
    <w:rsid w:val="00EA71F5"/>
    <w:rsid w:val="00EA7504"/>
    <w:rsid w:val="00EB1002"/>
    <w:rsid w:val="00EB543B"/>
    <w:rsid w:val="00EB7163"/>
    <w:rsid w:val="00EC0718"/>
    <w:rsid w:val="00EC17AA"/>
    <w:rsid w:val="00EC23A1"/>
    <w:rsid w:val="00EC2490"/>
    <w:rsid w:val="00EC40C3"/>
    <w:rsid w:val="00EC4F6C"/>
    <w:rsid w:val="00EC5BE5"/>
    <w:rsid w:val="00EC6998"/>
    <w:rsid w:val="00ED1DC5"/>
    <w:rsid w:val="00ED350D"/>
    <w:rsid w:val="00ED6A3E"/>
    <w:rsid w:val="00ED7B04"/>
    <w:rsid w:val="00EE00D9"/>
    <w:rsid w:val="00EE5509"/>
    <w:rsid w:val="00EF0D2F"/>
    <w:rsid w:val="00EF30E4"/>
    <w:rsid w:val="00EF32E6"/>
    <w:rsid w:val="00EF60DB"/>
    <w:rsid w:val="00F0326A"/>
    <w:rsid w:val="00F12680"/>
    <w:rsid w:val="00F12E96"/>
    <w:rsid w:val="00F1389B"/>
    <w:rsid w:val="00F140A9"/>
    <w:rsid w:val="00F155BB"/>
    <w:rsid w:val="00F26AF3"/>
    <w:rsid w:val="00F27347"/>
    <w:rsid w:val="00F30AB1"/>
    <w:rsid w:val="00F37BD0"/>
    <w:rsid w:val="00F410FE"/>
    <w:rsid w:val="00F423BB"/>
    <w:rsid w:val="00F42B08"/>
    <w:rsid w:val="00F507BC"/>
    <w:rsid w:val="00F538FE"/>
    <w:rsid w:val="00F55559"/>
    <w:rsid w:val="00F56D9C"/>
    <w:rsid w:val="00F628DC"/>
    <w:rsid w:val="00F64C04"/>
    <w:rsid w:val="00F66375"/>
    <w:rsid w:val="00F66B88"/>
    <w:rsid w:val="00F67854"/>
    <w:rsid w:val="00F70145"/>
    <w:rsid w:val="00F70662"/>
    <w:rsid w:val="00F76CEB"/>
    <w:rsid w:val="00F92F79"/>
    <w:rsid w:val="00F969CA"/>
    <w:rsid w:val="00FA426B"/>
    <w:rsid w:val="00FB08F8"/>
    <w:rsid w:val="00FB11C1"/>
    <w:rsid w:val="00FB29F7"/>
    <w:rsid w:val="00FB3673"/>
    <w:rsid w:val="00FB48F2"/>
    <w:rsid w:val="00FB4C6E"/>
    <w:rsid w:val="00FC0D07"/>
    <w:rsid w:val="00FC1AD0"/>
    <w:rsid w:val="00FC2ACD"/>
    <w:rsid w:val="00FC5A38"/>
    <w:rsid w:val="00FC78BA"/>
    <w:rsid w:val="00FD06BB"/>
    <w:rsid w:val="00FD4194"/>
    <w:rsid w:val="00FE2711"/>
    <w:rsid w:val="00FE76DA"/>
    <w:rsid w:val="00FF1B12"/>
    <w:rsid w:val="00FF3DB9"/>
    <w:rsid w:val="00FF48C1"/>
    <w:rsid w:val="00FF6AFC"/>
    <w:rsid w:val="0D070650"/>
    <w:rsid w:val="0DD7C1E0"/>
    <w:rsid w:val="2D9A7B43"/>
    <w:rsid w:val="40A86971"/>
    <w:rsid w:val="787EBE55"/>
    <w:rsid w:val="7F8992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23F77"/>
  <w15:docId w15:val="{CA82A5F9-55DB-407A-9596-EE739597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A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5774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189"/>
    <w:pPr>
      <w:ind w:left="720"/>
      <w:contextualSpacing/>
    </w:pPr>
  </w:style>
  <w:style w:type="paragraph" w:styleId="BalloonText">
    <w:name w:val="Balloon Text"/>
    <w:basedOn w:val="Normal"/>
    <w:link w:val="BalloonTextChar"/>
    <w:uiPriority w:val="99"/>
    <w:semiHidden/>
    <w:unhideWhenUsed/>
    <w:rsid w:val="00B94DC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4DC2"/>
    <w:rPr>
      <w:rFonts w:ascii="Lucida Grande" w:hAnsi="Lucida Grande" w:cs="Lucida Grande"/>
      <w:sz w:val="18"/>
      <w:szCs w:val="18"/>
    </w:rPr>
  </w:style>
  <w:style w:type="paragraph" w:customStyle="1" w:styleId="p1">
    <w:name w:val="p1"/>
    <w:basedOn w:val="Normal"/>
    <w:rsid w:val="00660299"/>
    <w:pPr>
      <w:spacing w:after="0" w:line="240" w:lineRule="auto"/>
    </w:pPr>
    <w:rPr>
      <w:rFonts w:ascii="Helvetica" w:eastAsiaTheme="minorEastAsia" w:hAnsi="Helvetica" w:cs="Times New Roman"/>
      <w:sz w:val="18"/>
      <w:szCs w:val="18"/>
      <w:lang w:val="en-US"/>
    </w:rPr>
  </w:style>
  <w:style w:type="character" w:customStyle="1" w:styleId="apple-converted-space">
    <w:name w:val="apple-converted-space"/>
    <w:basedOn w:val="DefaultParagraphFont"/>
    <w:rsid w:val="00660299"/>
  </w:style>
  <w:style w:type="paragraph" w:styleId="Header">
    <w:name w:val="header"/>
    <w:basedOn w:val="Normal"/>
    <w:link w:val="HeaderChar"/>
    <w:uiPriority w:val="99"/>
    <w:unhideWhenUsed/>
    <w:rsid w:val="0044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67A"/>
  </w:style>
  <w:style w:type="paragraph" w:styleId="Footer">
    <w:name w:val="footer"/>
    <w:basedOn w:val="Normal"/>
    <w:link w:val="FooterChar"/>
    <w:uiPriority w:val="99"/>
    <w:unhideWhenUsed/>
    <w:rsid w:val="0044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67A"/>
  </w:style>
  <w:style w:type="character" w:customStyle="1" w:styleId="w8qarf">
    <w:name w:val="w8qarf"/>
    <w:basedOn w:val="DefaultParagraphFont"/>
    <w:rsid w:val="00DE70A9"/>
  </w:style>
  <w:style w:type="character" w:customStyle="1" w:styleId="lrzxr">
    <w:name w:val="lrzxr"/>
    <w:basedOn w:val="DefaultParagraphFont"/>
    <w:rsid w:val="00DE70A9"/>
  </w:style>
  <w:style w:type="paragraph" w:styleId="NoSpacing">
    <w:name w:val="No Spacing"/>
    <w:uiPriority w:val="1"/>
    <w:qFormat/>
    <w:rsid w:val="00EC4F6C"/>
    <w:pPr>
      <w:spacing w:after="0" w:line="240" w:lineRule="auto"/>
    </w:pPr>
  </w:style>
  <w:style w:type="table" w:styleId="TableGrid">
    <w:name w:val="Table Grid"/>
    <w:basedOn w:val="TableNormal"/>
    <w:uiPriority w:val="59"/>
    <w:rsid w:val="0083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odycopy">
    <w:name w:val="Footer body copy"/>
    <w:basedOn w:val="Footer"/>
    <w:qFormat/>
    <w:rsid w:val="0083764F"/>
    <w:pPr>
      <w:spacing w:before="100" w:beforeAutospacing="1"/>
    </w:pPr>
  </w:style>
  <w:style w:type="character" w:customStyle="1" w:styleId="Heading1Char">
    <w:name w:val="Heading 1 Char"/>
    <w:basedOn w:val="DefaultParagraphFont"/>
    <w:link w:val="Heading1"/>
    <w:uiPriority w:val="9"/>
    <w:rsid w:val="00143A8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B16748"/>
    <w:pPr>
      <w:spacing w:after="0" w:line="240" w:lineRule="auto"/>
    </w:pPr>
  </w:style>
  <w:style w:type="character" w:customStyle="1" w:styleId="Heading4Char">
    <w:name w:val="Heading 4 Char"/>
    <w:basedOn w:val="DefaultParagraphFont"/>
    <w:link w:val="Heading4"/>
    <w:uiPriority w:val="9"/>
    <w:semiHidden/>
    <w:rsid w:val="005774C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199">
      <w:bodyDiv w:val="1"/>
      <w:marLeft w:val="0"/>
      <w:marRight w:val="0"/>
      <w:marTop w:val="0"/>
      <w:marBottom w:val="0"/>
      <w:divBdr>
        <w:top w:val="none" w:sz="0" w:space="0" w:color="auto"/>
        <w:left w:val="none" w:sz="0" w:space="0" w:color="auto"/>
        <w:bottom w:val="none" w:sz="0" w:space="0" w:color="auto"/>
        <w:right w:val="none" w:sz="0" w:space="0" w:color="auto"/>
      </w:divBdr>
    </w:div>
    <w:div w:id="98572017">
      <w:bodyDiv w:val="1"/>
      <w:marLeft w:val="0"/>
      <w:marRight w:val="0"/>
      <w:marTop w:val="0"/>
      <w:marBottom w:val="0"/>
      <w:divBdr>
        <w:top w:val="none" w:sz="0" w:space="0" w:color="auto"/>
        <w:left w:val="none" w:sz="0" w:space="0" w:color="auto"/>
        <w:bottom w:val="none" w:sz="0" w:space="0" w:color="auto"/>
        <w:right w:val="none" w:sz="0" w:space="0" w:color="auto"/>
      </w:divBdr>
    </w:div>
    <w:div w:id="176047744">
      <w:bodyDiv w:val="1"/>
      <w:marLeft w:val="0"/>
      <w:marRight w:val="0"/>
      <w:marTop w:val="0"/>
      <w:marBottom w:val="0"/>
      <w:divBdr>
        <w:top w:val="none" w:sz="0" w:space="0" w:color="auto"/>
        <w:left w:val="none" w:sz="0" w:space="0" w:color="auto"/>
        <w:bottom w:val="none" w:sz="0" w:space="0" w:color="auto"/>
        <w:right w:val="none" w:sz="0" w:space="0" w:color="auto"/>
      </w:divBdr>
    </w:div>
    <w:div w:id="179203363">
      <w:bodyDiv w:val="1"/>
      <w:marLeft w:val="0"/>
      <w:marRight w:val="0"/>
      <w:marTop w:val="0"/>
      <w:marBottom w:val="0"/>
      <w:divBdr>
        <w:top w:val="none" w:sz="0" w:space="0" w:color="auto"/>
        <w:left w:val="none" w:sz="0" w:space="0" w:color="auto"/>
        <w:bottom w:val="none" w:sz="0" w:space="0" w:color="auto"/>
        <w:right w:val="none" w:sz="0" w:space="0" w:color="auto"/>
      </w:divBdr>
    </w:div>
    <w:div w:id="242373430">
      <w:bodyDiv w:val="1"/>
      <w:marLeft w:val="0"/>
      <w:marRight w:val="0"/>
      <w:marTop w:val="0"/>
      <w:marBottom w:val="0"/>
      <w:divBdr>
        <w:top w:val="none" w:sz="0" w:space="0" w:color="auto"/>
        <w:left w:val="none" w:sz="0" w:space="0" w:color="auto"/>
        <w:bottom w:val="none" w:sz="0" w:space="0" w:color="auto"/>
        <w:right w:val="none" w:sz="0" w:space="0" w:color="auto"/>
      </w:divBdr>
    </w:div>
    <w:div w:id="291911370">
      <w:bodyDiv w:val="1"/>
      <w:marLeft w:val="0"/>
      <w:marRight w:val="0"/>
      <w:marTop w:val="0"/>
      <w:marBottom w:val="0"/>
      <w:divBdr>
        <w:top w:val="none" w:sz="0" w:space="0" w:color="auto"/>
        <w:left w:val="none" w:sz="0" w:space="0" w:color="auto"/>
        <w:bottom w:val="none" w:sz="0" w:space="0" w:color="auto"/>
        <w:right w:val="none" w:sz="0" w:space="0" w:color="auto"/>
      </w:divBdr>
    </w:div>
    <w:div w:id="294725998">
      <w:bodyDiv w:val="1"/>
      <w:marLeft w:val="0"/>
      <w:marRight w:val="0"/>
      <w:marTop w:val="0"/>
      <w:marBottom w:val="0"/>
      <w:divBdr>
        <w:top w:val="none" w:sz="0" w:space="0" w:color="auto"/>
        <w:left w:val="none" w:sz="0" w:space="0" w:color="auto"/>
        <w:bottom w:val="none" w:sz="0" w:space="0" w:color="auto"/>
        <w:right w:val="none" w:sz="0" w:space="0" w:color="auto"/>
      </w:divBdr>
    </w:div>
    <w:div w:id="331763211">
      <w:bodyDiv w:val="1"/>
      <w:marLeft w:val="0"/>
      <w:marRight w:val="0"/>
      <w:marTop w:val="0"/>
      <w:marBottom w:val="0"/>
      <w:divBdr>
        <w:top w:val="none" w:sz="0" w:space="0" w:color="auto"/>
        <w:left w:val="none" w:sz="0" w:space="0" w:color="auto"/>
        <w:bottom w:val="none" w:sz="0" w:space="0" w:color="auto"/>
        <w:right w:val="none" w:sz="0" w:space="0" w:color="auto"/>
      </w:divBdr>
    </w:div>
    <w:div w:id="482814751">
      <w:bodyDiv w:val="1"/>
      <w:marLeft w:val="0"/>
      <w:marRight w:val="0"/>
      <w:marTop w:val="0"/>
      <w:marBottom w:val="0"/>
      <w:divBdr>
        <w:top w:val="none" w:sz="0" w:space="0" w:color="auto"/>
        <w:left w:val="none" w:sz="0" w:space="0" w:color="auto"/>
        <w:bottom w:val="none" w:sz="0" w:space="0" w:color="auto"/>
        <w:right w:val="none" w:sz="0" w:space="0" w:color="auto"/>
      </w:divBdr>
    </w:div>
    <w:div w:id="519512197">
      <w:bodyDiv w:val="1"/>
      <w:marLeft w:val="0"/>
      <w:marRight w:val="0"/>
      <w:marTop w:val="0"/>
      <w:marBottom w:val="0"/>
      <w:divBdr>
        <w:top w:val="none" w:sz="0" w:space="0" w:color="auto"/>
        <w:left w:val="none" w:sz="0" w:space="0" w:color="auto"/>
        <w:bottom w:val="none" w:sz="0" w:space="0" w:color="auto"/>
        <w:right w:val="none" w:sz="0" w:space="0" w:color="auto"/>
      </w:divBdr>
    </w:div>
    <w:div w:id="572204705">
      <w:bodyDiv w:val="1"/>
      <w:marLeft w:val="0"/>
      <w:marRight w:val="0"/>
      <w:marTop w:val="0"/>
      <w:marBottom w:val="0"/>
      <w:divBdr>
        <w:top w:val="none" w:sz="0" w:space="0" w:color="auto"/>
        <w:left w:val="none" w:sz="0" w:space="0" w:color="auto"/>
        <w:bottom w:val="none" w:sz="0" w:space="0" w:color="auto"/>
        <w:right w:val="none" w:sz="0" w:space="0" w:color="auto"/>
      </w:divBdr>
    </w:div>
    <w:div w:id="611595260">
      <w:bodyDiv w:val="1"/>
      <w:marLeft w:val="0"/>
      <w:marRight w:val="0"/>
      <w:marTop w:val="0"/>
      <w:marBottom w:val="0"/>
      <w:divBdr>
        <w:top w:val="none" w:sz="0" w:space="0" w:color="auto"/>
        <w:left w:val="none" w:sz="0" w:space="0" w:color="auto"/>
        <w:bottom w:val="none" w:sz="0" w:space="0" w:color="auto"/>
        <w:right w:val="none" w:sz="0" w:space="0" w:color="auto"/>
      </w:divBdr>
    </w:div>
    <w:div w:id="611859452">
      <w:bodyDiv w:val="1"/>
      <w:marLeft w:val="0"/>
      <w:marRight w:val="0"/>
      <w:marTop w:val="0"/>
      <w:marBottom w:val="0"/>
      <w:divBdr>
        <w:top w:val="none" w:sz="0" w:space="0" w:color="auto"/>
        <w:left w:val="none" w:sz="0" w:space="0" w:color="auto"/>
        <w:bottom w:val="none" w:sz="0" w:space="0" w:color="auto"/>
        <w:right w:val="none" w:sz="0" w:space="0" w:color="auto"/>
      </w:divBdr>
    </w:div>
    <w:div w:id="620503249">
      <w:bodyDiv w:val="1"/>
      <w:marLeft w:val="0"/>
      <w:marRight w:val="0"/>
      <w:marTop w:val="0"/>
      <w:marBottom w:val="0"/>
      <w:divBdr>
        <w:top w:val="none" w:sz="0" w:space="0" w:color="auto"/>
        <w:left w:val="none" w:sz="0" w:space="0" w:color="auto"/>
        <w:bottom w:val="none" w:sz="0" w:space="0" w:color="auto"/>
        <w:right w:val="none" w:sz="0" w:space="0" w:color="auto"/>
      </w:divBdr>
    </w:div>
    <w:div w:id="690493427">
      <w:bodyDiv w:val="1"/>
      <w:marLeft w:val="0"/>
      <w:marRight w:val="0"/>
      <w:marTop w:val="0"/>
      <w:marBottom w:val="0"/>
      <w:divBdr>
        <w:top w:val="none" w:sz="0" w:space="0" w:color="auto"/>
        <w:left w:val="none" w:sz="0" w:space="0" w:color="auto"/>
        <w:bottom w:val="none" w:sz="0" w:space="0" w:color="auto"/>
        <w:right w:val="none" w:sz="0" w:space="0" w:color="auto"/>
      </w:divBdr>
    </w:div>
    <w:div w:id="695158299">
      <w:bodyDiv w:val="1"/>
      <w:marLeft w:val="0"/>
      <w:marRight w:val="0"/>
      <w:marTop w:val="0"/>
      <w:marBottom w:val="0"/>
      <w:divBdr>
        <w:top w:val="none" w:sz="0" w:space="0" w:color="auto"/>
        <w:left w:val="none" w:sz="0" w:space="0" w:color="auto"/>
        <w:bottom w:val="none" w:sz="0" w:space="0" w:color="auto"/>
        <w:right w:val="none" w:sz="0" w:space="0" w:color="auto"/>
      </w:divBdr>
    </w:div>
    <w:div w:id="775174092">
      <w:bodyDiv w:val="1"/>
      <w:marLeft w:val="0"/>
      <w:marRight w:val="0"/>
      <w:marTop w:val="0"/>
      <w:marBottom w:val="0"/>
      <w:divBdr>
        <w:top w:val="none" w:sz="0" w:space="0" w:color="auto"/>
        <w:left w:val="none" w:sz="0" w:space="0" w:color="auto"/>
        <w:bottom w:val="none" w:sz="0" w:space="0" w:color="auto"/>
        <w:right w:val="none" w:sz="0" w:space="0" w:color="auto"/>
      </w:divBdr>
    </w:div>
    <w:div w:id="775715943">
      <w:bodyDiv w:val="1"/>
      <w:marLeft w:val="0"/>
      <w:marRight w:val="0"/>
      <w:marTop w:val="0"/>
      <w:marBottom w:val="0"/>
      <w:divBdr>
        <w:top w:val="none" w:sz="0" w:space="0" w:color="auto"/>
        <w:left w:val="none" w:sz="0" w:space="0" w:color="auto"/>
        <w:bottom w:val="none" w:sz="0" w:space="0" w:color="auto"/>
        <w:right w:val="none" w:sz="0" w:space="0" w:color="auto"/>
      </w:divBdr>
    </w:div>
    <w:div w:id="840974451">
      <w:bodyDiv w:val="1"/>
      <w:marLeft w:val="0"/>
      <w:marRight w:val="0"/>
      <w:marTop w:val="0"/>
      <w:marBottom w:val="0"/>
      <w:divBdr>
        <w:top w:val="none" w:sz="0" w:space="0" w:color="auto"/>
        <w:left w:val="none" w:sz="0" w:space="0" w:color="auto"/>
        <w:bottom w:val="none" w:sz="0" w:space="0" w:color="auto"/>
        <w:right w:val="none" w:sz="0" w:space="0" w:color="auto"/>
      </w:divBdr>
    </w:div>
    <w:div w:id="1172644281">
      <w:bodyDiv w:val="1"/>
      <w:marLeft w:val="0"/>
      <w:marRight w:val="0"/>
      <w:marTop w:val="0"/>
      <w:marBottom w:val="0"/>
      <w:divBdr>
        <w:top w:val="none" w:sz="0" w:space="0" w:color="auto"/>
        <w:left w:val="none" w:sz="0" w:space="0" w:color="auto"/>
        <w:bottom w:val="none" w:sz="0" w:space="0" w:color="auto"/>
        <w:right w:val="none" w:sz="0" w:space="0" w:color="auto"/>
      </w:divBdr>
    </w:div>
    <w:div w:id="1235385685">
      <w:bodyDiv w:val="1"/>
      <w:marLeft w:val="0"/>
      <w:marRight w:val="0"/>
      <w:marTop w:val="0"/>
      <w:marBottom w:val="0"/>
      <w:divBdr>
        <w:top w:val="none" w:sz="0" w:space="0" w:color="auto"/>
        <w:left w:val="none" w:sz="0" w:space="0" w:color="auto"/>
        <w:bottom w:val="none" w:sz="0" w:space="0" w:color="auto"/>
        <w:right w:val="none" w:sz="0" w:space="0" w:color="auto"/>
      </w:divBdr>
    </w:div>
    <w:div w:id="1248733489">
      <w:bodyDiv w:val="1"/>
      <w:marLeft w:val="0"/>
      <w:marRight w:val="0"/>
      <w:marTop w:val="0"/>
      <w:marBottom w:val="0"/>
      <w:divBdr>
        <w:top w:val="none" w:sz="0" w:space="0" w:color="auto"/>
        <w:left w:val="none" w:sz="0" w:space="0" w:color="auto"/>
        <w:bottom w:val="none" w:sz="0" w:space="0" w:color="auto"/>
        <w:right w:val="none" w:sz="0" w:space="0" w:color="auto"/>
      </w:divBdr>
    </w:div>
    <w:div w:id="1411735506">
      <w:bodyDiv w:val="1"/>
      <w:marLeft w:val="0"/>
      <w:marRight w:val="0"/>
      <w:marTop w:val="0"/>
      <w:marBottom w:val="0"/>
      <w:divBdr>
        <w:top w:val="none" w:sz="0" w:space="0" w:color="auto"/>
        <w:left w:val="none" w:sz="0" w:space="0" w:color="auto"/>
        <w:bottom w:val="none" w:sz="0" w:space="0" w:color="auto"/>
        <w:right w:val="none" w:sz="0" w:space="0" w:color="auto"/>
      </w:divBdr>
    </w:div>
    <w:div w:id="1515878482">
      <w:bodyDiv w:val="1"/>
      <w:marLeft w:val="0"/>
      <w:marRight w:val="0"/>
      <w:marTop w:val="0"/>
      <w:marBottom w:val="0"/>
      <w:divBdr>
        <w:top w:val="none" w:sz="0" w:space="0" w:color="auto"/>
        <w:left w:val="none" w:sz="0" w:space="0" w:color="auto"/>
        <w:bottom w:val="none" w:sz="0" w:space="0" w:color="auto"/>
        <w:right w:val="none" w:sz="0" w:space="0" w:color="auto"/>
      </w:divBdr>
    </w:div>
    <w:div w:id="1598634288">
      <w:bodyDiv w:val="1"/>
      <w:marLeft w:val="0"/>
      <w:marRight w:val="0"/>
      <w:marTop w:val="0"/>
      <w:marBottom w:val="0"/>
      <w:divBdr>
        <w:top w:val="none" w:sz="0" w:space="0" w:color="auto"/>
        <w:left w:val="none" w:sz="0" w:space="0" w:color="auto"/>
        <w:bottom w:val="none" w:sz="0" w:space="0" w:color="auto"/>
        <w:right w:val="none" w:sz="0" w:space="0" w:color="auto"/>
      </w:divBdr>
    </w:div>
    <w:div w:id="1740667298">
      <w:bodyDiv w:val="1"/>
      <w:marLeft w:val="0"/>
      <w:marRight w:val="0"/>
      <w:marTop w:val="0"/>
      <w:marBottom w:val="0"/>
      <w:divBdr>
        <w:top w:val="none" w:sz="0" w:space="0" w:color="auto"/>
        <w:left w:val="none" w:sz="0" w:space="0" w:color="auto"/>
        <w:bottom w:val="none" w:sz="0" w:space="0" w:color="auto"/>
        <w:right w:val="none" w:sz="0" w:space="0" w:color="auto"/>
      </w:divBdr>
    </w:div>
    <w:div w:id="17886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4ED471A14F47B93A02E0008B8992" ma:contentTypeVersion="16" ma:contentTypeDescription="Create a new document." ma:contentTypeScope="" ma:versionID="201d2ea4eaa2b110f185acd48c6fcd45">
  <xsd:schema xmlns:xsd="http://www.w3.org/2001/XMLSchema" xmlns:xs="http://www.w3.org/2001/XMLSchema" xmlns:p="http://schemas.microsoft.com/office/2006/metadata/properties" xmlns:ns2="d075dd21-e090-44a1-bafb-15a24b5b3e4c" xmlns:ns3="85ce8b1a-9ed3-4520-a261-ab1c5215df50" targetNamespace="http://schemas.microsoft.com/office/2006/metadata/properties" ma:root="true" ma:fieldsID="8ac27d5089a2d36595af117814884305" ns2:_="" ns3:_="">
    <xsd:import namespace="d075dd21-e090-44a1-bafb-15a24b5b3e4c"/>
    <xsd:import namespace="85ce8b1a-9ed3-4520-a261-ab1c5215d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dd21-e090-44a1-bafb-15a24b5b3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cccefd-db41-4a2c-b242-64c448ffc96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ce8b1a-9ed3-4520-a261-ab1c5215d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1a6433-9872-47d7-911a-9844bdf8bdee}" ma:internalName="TaxCatchAll" ma:showField="CatchAllData" ma:web="85ce8b1a-9ed3-4520-a261-ab1c5215d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75dd21-e090-44a1-bafb-15a24b5b3e4c">
      <Terms xmlns="http://schemas.microsoft.com/office/infopath/2007/PartnerControls"/>
    </lcf76f155ced4ddcb4097134ff3c332f>
    <TaxCatchAll xmlns="85ce8b1a-9ed3-4520-a261-ab1c5215df50" xsi:nil="true"/>
  </documentManagement>
</p:properties>
</file>

<file path=customXml/itemProps1.xml><?xml version="1.0" encoding="utf-8"?>
<ds:datastoreItem xmlns:ds="http://schemas.openxmlformats.org/officeDocument/2006/customXml" ds:itemID="{0198D58B-BD02-4CCB-833B-999F99948144}">
  <ds:schemaRefs>
    <ds:schemaRef ds:uri="http://schemas.microsoft.com/sharepoint/v3/contenttype/forms"/>
  </ds:schemaRefs>
</ds:datastoreItem>
</file>

<file path=customXml/itemProps2.xml><?xml version="1.0" encoding="utf-8"?>
<ds:datastoreItem xmlns:ds="http://schemas.openxmlformats.org/officeDocument/2006/customXml" ds:itemID="{3C7E5AD0-188B-41DB-B95B-83C50D576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dd21-e090-44a1-bafb-15a24b5b3e4c"/>
    <ds:schemaRef ds:uri="85ce8b1a-9ed3-4520-a261-ab1c5215d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E1911-CD14-4ABD-B533-812FA20D88A6}">
  <ds:schemaRefs>
    <ds:schemaRef ds:uri="http://schemas.openxmlformats.org/officeDocument/2006/bibliography"/>
  </ds:schemaRefs>
</ds:datastoreItem>
</file>

<file path=customXml/itemProps4.xml><?xml version="1.0" encoding="utf-8"?>
<ds:datastoreItem xmlns:ds="http://schemas.openxmlformats.org/officeDocument/2006/customXml" ds:itemID="{15CE6DD3-CA91-403D-9690-0A45A4BD3390}">
  <ds:schemaRefs>
    <ds:schemaRef ds:uri="85ce8b1a-9ed3-4520-a261-ab1c5215df50"/>
    <ds:schemaRef ds:uri="http://www.w3.org/XML/1998/namespace"/>
    <ds:schemaRef ds:uri="d075dd21-e090-44a1-bafb-15a24b5b3e4c"/>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BHSC BHSC</dc:creator>
  <cp:keywords/>
  <dc:description/>
  <cp:lastModifiedBy>Ana Carrijo</cp:lastModifiedBy>
  <cp:revision>2</cp:revision>
  <cp:lastPrinted>2025-03-11T08:06:00Z</cp:lastPrinted>
  <dcterms:created xsi:type="dcterms:W3CDTF">2025-11-11T15:49:00Z</dcterms:created>
  <dcterms:modified xsi:type="dcterms:W3CDTF">2025-11-11T15:49:00Z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0x010100B4F64ED471A14F47B93A02E0008B8992</vt:lpwstr>
  </property>
  <property fmtid="{D5CDD505-2E9C-101B-9397-08002B2CF9AE}" pid="3" name="AuthorIds_UIVersion_2048">
    <vt:lpwstr>16</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